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Pr>
          <w:p>
            <w:pPr>
              <w:framePr w:wrap="notBeside" w:vAnchor="page" w:hAnchor="page" w:x="1372" w:y="568"/>
              <w:spacing w:line="560" w:lineRule="exact"/>
              <w:jc w:val="both"/>
              <w:rPr>
                <w:rFonts w:ascii="黑体" w:hAnsi="黑体" w:eastAsia="黑体"/>
                <w:sz w:val="21"/>
                <w:szCs w:val="21"/>
              </w:rPr>
            </w:pPr>
            <w:r>
              <w:rPr>
                <w:rFonts w:hint="eastAsia" w:ascii="楷体_GB2312" w:hAnsi="楷体_GB2312" w:eastAsia="楷体_GB2312" w:cs="楷体_GB2312"/>
                <w:sz w:val="32"/>
                <w:szCs w:val="32"/>
                <w:lang w:eastAsia="zh-CN"/>
              </w:rPr>
              <w:t>拟在国家国防科工局、原子能机构</w:t>
            </w:r>
            <w:bookmarkStart w:id="65" w:name="_GoBack"/>
            <w:bookmarkEnd w:id="65"/>
            <w:r>
              <w:rPr>
                <w:rFonts w:hint="eastAsia" w:ascii="楷体_GB2312" w:hAnsi="楷体_GB2312" w:eastAsia="楷体_GB2312" w:cs="楷体_GB2312"/>
                <w:sz w:val="32"/>
                <w:szCs w:val="32"/>
                <w:lang w:eastAsia="zh-CN"/>
              </w:rPr>
              <w:t>网站发布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27.120.30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F</w:t>
            </w:r>
            <w:r>
              <w:rPr>
                <w:rFonts w:ascii="黑体" w:hAnsi="黑体" w:eastAsia="黑体"/>
                <w:sz w:val="21"/>
                <w:szCs w:val="21"/>
              </w:rPr>
              <w:t>09</w:t>
            </w:r>
            <w:r>
              <w:rPr>
                <w:rFonts w:ascii="黑体" w:hAnsi="黑体" w:eastAsia="黑体"/>
                <w:sz w:val="21"/>
                <w:szCs w:val="21"/>
              </w:rPr>
              <w:fldChar w:fldCharType="end"/>
            </w:r>
            <w:bookmarkEnd w:id="1"/>
          </w:p>
        </w:tc>
      </w:tr>
    </w:tbl>
    <w:p>
      <w:pPr>
        <w:pStyle w:val="53"/>
        <w:framePr w:w="9639" w:h="624" w:hRule="exact" w:hSpace="181" w:vSpace="181" w:hAnchor="page" w:x="1305" w:y="2269"/>
      </w:pPr>
      <w:bookmarkStart w:id="2" w:name="_Hlk26473981"/>
      <w:r>
        <w:rPr>
          <w:rFonts w:hint="eastAsia"/>
        </w:rPr>
        <w:t>中华人民共和国国家标准</w:t>
      </w:r>
    </w:p>
    <w:bookmarkEnd w:id="2"/>
    <w:p>
      <w:pPr>
        <w:pStyle w:val="198"/>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t>15146.1</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9"/>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代替 GB 15146.1</w:t>
      </w:r>
      <w:r>
        <w:rPr>
          <w:rFonts w:hint="eastAsia" w:hAnsi="黑体"/>
        </w:rPr>
        <w:t>—2</w:t>
      </w:r>
      <w:r>
        <w:rPr>
          <w:rFonts w:hAnsi="黑体"/>
        </w:rPr>
        <w:t>008</w:t>
      </w:r>
      <w:r>
        <w:rPr>
          <w:rFonts w:hAnsi="黑体"/>
        </w:rPr>
        <w:fldChar w:fldCharType="end"/>
      </w:r>
      <w:bookmarkEnd w:id="6"/>
    </w:p>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13">
                      <a:extLst>
                        <a:ext uri="{28A0092B-C50C-407E-A947-70E740481C1C}">
                          <a14:useLocalDpi xmlns:a14="http://schemas.microsoft.com/office/drawing/2010/main" val="false"/>
                        </a:ext>
                      </a:extLst>
                    </a:blip>
                    <a:srcRect/>
                    <a:stretch>
                      <a:fillRect/>
                    </a:stretch>
                  </pic:blipFill>
                  <pic:spPr>
                    <a:xfrm>
                      <a:off x="0" y="0"/>
                      <a:ext cx="1447200" cy="732960"/>
                    </a:xfrm>
                    <a:prstGeom prst="rect">
                      <a:avLst/>
                    </a:prstGeom>
                    <a:noFill/>
                    <a:ln>
                      <a:noFill/>
                    </a:ln>
                  </pic:spPr>
                </pic:pic>
              </a:graphicData>
            </a:graphic>
          </wp:anchor>
        </w:drawing>
      </w:r>
    </w:p>
    <w:p>
      <w:pPr>
        <w:pStyle w:val="53"/>
        <w:framePr w:w="9639" w:h="6976" w:hRule="exact" w:hSpace="0" w:vSpace="0" w:hAnchor="page" w:y="6408"/>
        <w:jc w:val="center"/>
        <w:rPr>
          <w:rFonts w:ascii="黑体" w:hAnsi="黑体" w:eastAsia="黑体"/>
          <w:b w:val="0"/>
          <w:bCs w:val="0"/>
          <w:w w:val="100"/>
        </w:rPr>
      </w:pPr>
    </w:p>
    <w:p>
      <w:pPr>
        <w:pStyle w:val="200"/>
        <w:framePr w:h="6974" w:hRule="exact" w:wrap="around" w:x="1419" w:anchorLock="1"/>
      </w:pPr>
      <w:r>
        <w:fldChar w:fldCharType="begin">
          <w:ffData>
            <w:name w:val="CSTD_NAME"/>
            <w:enabled/>
            <w:calcOnExit w:val="0"/>
            <w:textInput>
              <w:default w:val="反应堆外易裂变材料的核临界安全       第1部分：核临界安全管理规定"/>
            </w:textInput>
          </w:ffData>
        </w:fldChar>
      </w:r>
      <w:bookmarkStart w:id="7" w:name="CSTD_NAME"/>
      <w:r>
        <w:instrText xml:space="preserve"> FORMTEXT </w:instrText>
      </w:r>
      <w:r>
        <w:fldChar w:fldCharType="separate"/>
      </w:r>
      <w:r>
        <w:t>反应堆外易裂变材料的核临界安全       第1部分：核临界安全管理规定</w:t>
      </w:r>
      <w:r>
        <w:fldChar w:fldCharType="end"/>
      </w:r>
      <w:bookmarkEnd w:id="7"/>
    </w:p>
    <w:p>
      <w:pPr>
        <w:framePr w:w="9639" w:h="6974" w:hRule="exact" w:wrap="around" w:vAnchor="page" w:hAnchor="page" w:x="1419" w:y="6408" w:anchorLock="1"/>
        <w:ind w:left="-1418"/>
      </w:pPr>
    </w:p>
    <w:p>
      <w:pPr>
        <w:pStyle w:val="128"/>
        <w:framePr w:w="9639" w:h="6974" w:hRule="exact" w:wrap="around" w:vAnchor="page" w:hAnchor="page" w:x="1419" w:y="6408" w:anchorLock="1"/>
        <w:textAlignment w:val="bottom"/>
        <w:rPr>
          <w:rFonts w:ascii="黑体" w:hAnsi="黑体"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Nuclear criticality safety for fissile materials outside reactors— Part 1:Administrative practices for nuclear criticality safety</w:t>
      </w:r>
      <w:r>
        <w:rPr>
          <w:rFonts w:ascii="黑体" w:hAnsi="黑体" w:eastAsia="黑体"/>
          <w:szCs w:val="28"/>
        </w:rPr>
        <w:fldChar w:fldCharType="end"/>
      </w:r>
      <w:bookmarkEnd w:id="8"/>
    </w:p>
    <w:p>
      <w:pPr>
        <w:framePr w:w="9639" w:h="6974" w:hRule="exact" w:wrap="around" w:vAnchor="page" w:hAnchor="page" w:x="1419" w:y="6408" w:anchorLock="1"/>
        <w:spacing w:line="760" w:lineRule="exact"/>
        <w:ind w:left="-1418"/>
      </w:pPr>
    </w:p>
    <w:p>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9"/>
    </w:p>
    <w:p>
      <w:pPr>
        <w:pStyle w:val="128"/>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0"/>
    </w:p>
    <w:p>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pPr>
        <w:pStyle w:val="196"/>
        <w:framePr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pPr>
        <w:pStyle w:val="197"/>
        <w:framePr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4" cstate="print">
                      <a:extLst>
                        <a:ext uri="{28A0092B-C50C-407E-A947-70E740481C1C}">
                          <a14:useLocalDpi xmlns:a14="http://schemas.microsoft.com/office/drawing/2010/main" val="false"/>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92"/>
        <w:spacing w:before="900" w:after="468"/>
      </w:pPr>
      <w:bookmarkStart w:id="18" w:name="BookMark2"/>
      <w:r>
        <w:rPr>
          <w:spacing w:val="320"/>
        </w:rPr>
        <w:t>前</w:t>
      </w:r>
      <w:r>
        <w:t>言</w:t>
      </w:r>
    </w:p>
    <w:p>
      <w:pPr>
        <w:pStyle w:val="59"/>
        <w:ind w:firstLine="420"/>
      </w:pPr>
      <w:r>
        <w:rPr>
          <w:rFonts w:hint="eastAsia"/>
        </w:rPr>
        <w:t>本文件按照</w:t>
      </w:r>
      <w:r>
        <w:rPr>
          <w:rFonts w:ascii="Times New Roman"/>
        </w:rPr>
        <w:t>GB/T</w:t>
      </w:r>
      <w:r>
        <w:rPr>
          <w:rFonts w:hint="eastAsia"/>
        </w:rPr>
        <w:t xml:space="preserve"> 1.1—2020《标准化工作导则  第1部分：标准化文件的结构和起草规则》的规定起草。</w:t>
      </w:r>
    </w:p>
    <w:p>
      <w:pPr>
        <w:pStyle w:val="59"/>
        <w:ind w:firstLine="420"/>
      </w:pPr>
      <w:r>
        <w:rPr>
          <w:rFonts w:hint="eastAsia"/>
        </w:rPr>
        <w:t>本文件是</w:t>
      </w:r>
      <w:r>
        <w:rPr>
          <w:rFonts w:ascii="Times New Roman"/>
        </w:rPr>
        <w:t>GB</w:t>
      </w:r>
      <w:r>
        <w:rPr>
          <w:rFonts w:hAnsi="宋体"/>
        </w:rPr>
        <w:t>(/</w:t>
      </w:r>
      <w:r>
        <w:rPr>
          <w:rFonts w:ascii="Times New Roman"/>
        </w:rPr>
        <w:t>T</w:t>
      </w:r>
      <w:r>
        <w:rPr>
          <w:rFonts w:hAnsi="宋体"/>
        </w:rPr>
        <w:t xml:space="preserve">) </w:t>
      </w:r>
      <w:r>
        <w:t>15146</w:t>
      </w:r>
      <w:r>
        <w:rPr>
          <w:rFonts w:hint="eastAsia"/>
        </w:rPr>
        <w:t>《反应堆外易裂变材料的核临界安全》的第</w:t>
      </w:r>
      <w:r>
        <w:t>1</w:t>
      </w:r>
      <w:r>
        <w:rPr>
          <w:rFonts w:hint="eastAsia"/>
        </w:rPr>
        <w:t>部分。</w:t>
      </w:r>
      <w:r>
        <w:rPr>
          <w:rFonts w:ascii="Times New Roman"/>
        </w:rPr>
        <w:t>GB</w:t>
      </w:r>
      <w:r>
        <w:rPr>
          <w:rFonts w:hAnsi="宋体"/>
        </w:rPr>
        <w:t>(/</w:t>
      </w:r>
      <w:r>
        <w:rPr>
          <w:rFonts w:ascii="Times New Roman"/>
        </w:rPr>
        <w:t>T</w:t>
      </w:r>
      <w:r>
        <w:rPr>
          <w:rFonts w:hAnsi="宋体"/>
        </w:rPr>
        <w:t xml:space="preserve">) </w:t>
      </w:r>
      <w:r>
        <w:t>15146</w:t>
      </w:r>
      <w:r>
        <w:rPr>
          <w:rFonts w:hint="eastAsia"/>
        </w:rPr>
        <w:t>已经发布了以下部分：</w:t>
      </w:r>
    </w:p>
    <w:p>
      <w:pPr>
        <w:pStyle w:val="135"/>
      </w:pPr>
      <w:r>
        <w:rPr>
          <w:rFonts w:hint="eastAsia"/>
        </w:rPr>
        <w:t>第1部分：核临界安全管理规定；</w:t>
      </w:r>
    </w:p>
    <w:p>
      <w:pPr>
        <w:pStyle w:val="135"/>
      </w:pPr>
      <w:bookmarkStart w:id="19" w:name="_Hlk225843962"/>
      <w:r>
        <w:rPr>
          <w:rFonts w:hint="eastAsia"/>
        </w:rPr>
        <w:t>第2部分：易裂变材料操作、加工、处理的基本技术规则与次临界限值</w:t>
      </w:r>
      <w:bookmarkEnd w:id="19"/>
      <w:r>
        <w:rPr>
          <w:rFonts w:hint="eastAsia"/>
        </w:rPr>
        <w:t>；</w:t>
      </w:r>
    </w:p>
    <w:p>
      <w:pPr>
        <w:pStyle w:val="135"/>
      </w:pPr>
      <w:r>
        <w:rPr>
          <w:rFonts w:hint="eastAsia"/>
        </w:rPr>
        <w:t>第3部分：易裂变材料贮存的核临界安全要求；</w:t>
      </w:r>
    </w:p>
    <w:p>
      <w:pPr>
        <w:pStyle w:val="135"/>
      </w:pPr>
      <w:r>
        <w:rPr>
          <w:rFonts w:hint="eastAsia"/>
        </w:rPr>
        <w:t>第</w:t>
      </w:r>
      <w:r>
        <w:t>4</w:t>
      </w:r>
      <w:r>
        <w:rPr>
          <w:rFonts w:hint="eastAsia"/>
        </w:rPr>
        <w:t>部分：含易裂变物质水溶液的钢质管道交接的核临界安全准则；</w:t>
      </w:r>
    </w:p>
    <w:p>
      <w:pPr>
        <w:pStyle w:val="135"/>
      </w:pPr>
      <w:r>
        <w:rPr>
          <w:rFonts w:hint="eastAsia"/>
        </w:rPr>
        <w:t>第5部分：钚-天然铀混合物的核临界控制准则和次临界限值；</w:t>
      </w:r>
    </w:p>
    <w:p>
      <w:pPr>
        <w:pStyle w:val="135"/>
      </w:pPr>
      <w:r>
        <w:rPr>
          <w:rFonts w:hint="eastAsia"/>
        </w:rPr>
        <w:t>第6部分：硼硅酸盐玻璃拉希环及其应用准则；</w:t>
      </w:r>
    </w:p>
    <w:p>
      <w:pPr>
        <w:pStyle w:val="135"/>
      </w:pPr>
      <w:r>
        <w:rPr>
          <w:rFonts w:hint="eastAsia"/>
        </w:rPr>
        <w:t>第7部分：次临界中子增殖就地测量安全规定；</w:t>
      </w:r>
    </w:p>
    <w:p>
      <w:pPr>
        <w:pStyle w:val="135"/>
      </w:pPr>
      <w:r>
        <w:rPr>
          <w:rFonts w:hint="eastAsia"/>
        </w:rPr>
        <w:t>第8部分：堆外操作、贮存、运输轻水堆燃料的核临界安全准则；</w:t>
      </w:r>
    </w:p>
    <w:p>
      <w:pPr>
        <w:pStyle w:val="135"/>
      </w:pPr>
      <w:r>
        <w:rPr>
          <w:rFonts w:hint="eastAsia"/>
        </w:rPr>
        <w:t>第9部分：核临界事故探测与报警系统的性能及检验要求；</w:t>
      </w:r>
    </w:p>
    <w:p>
      <w:pPr>
        <w:pStyle w:val="135"/>
      </w:pPr>
      <w:r>
        <w:rPr>
          <w:rFonts w:hint="eastAsia"/>
        </w:rPr>
        <w:t>第1</w:t>
      </w:r>
      <w:r>
        <w:t>0</w:t>
      </w:r>
      <w:r>
        <w:rPr>
          <w:rFonts w:hint="eastAsia"/>
        </w:rPr>
        <w:t>部分：固定中子吸收体的应用安全要求；</w:t>
      </w:r>
    </w:p>
    <w:p>
      <w:pPr>
        <w:pStyle w:val="135"/>
      </w:pPr>
      <w:r>
        <w:rPr>
          <w:rFonts w:hint="eastAsia"/>
        </w:rPr>
        <w:t>第1</w:t>
      </w:r>
      <w:r>
        <w:t>1</w:t>
      </w:r>
      <w:r>
        <w:rPr>
          <w:rFonts w:hint="eastAsia"/>
        </w:rPr>
        <w:t>部分：基于限制和控制慢化剂的核临界安全；</w:t>
      </w:r>
    </w:p>
    <w:p>
      <w:pPr>
        <w:pStyle w:val="135"/>
      </w:pPr>
      <w:r>
        <w:rPr>
          <w:rFonts w:hint="eastAsia"/>
        </w:rPr>
        <w:t>第12部分：轻水堆燃料燃耗信用制。</w:t>
      </w:r>
    </w:p>
    <w:p>
      <w:pPr>
        <w:pStyle w:val="59"/>
        <w:ind w:firstLine="420"/>
      </w:pPr>
      <w:r>
        <w:rPr>
          <w:rFonts w:hint="eastAsia"/>
        </w:rPr>
        <w:t>本文件代替</w:t>
      </w:r>
      <w:r>
        <w:rPr>
          <w:rFonts w:ascii="Times New Roman"/>
        </w:rPr>
        <w:t>GB</w:t>
      </w:r>
      <w:r>
        <w:rPr>
          <w:rFonts w:hint="eastAsia"/>
        </w:rPr>
        <w:t xml:space="preserve"> 15146.1—</w:t>
      </w:r>
      <w:r>
        <w:t>2008</w:t>
      </w:r>
      <w:r>
        <w:rPr>
          <w:rFonts w:hint="eastAsia"/>
        </w:rPr>
        <w:t>《反应堆外易裂变材料的核临界安全 第1部分：核临界安全行政管理规定》，与</w:t>
      </w:r>
      <w:r>
        <w:rPr>
          <w:rFonts w:ascii="Times New Roman"/>
        </w:rPr>
        <w:t>GB</w:t>
      </w:r>
      <w:r>
        <w:rPr>
          <w:rFonts w:hint="eastAsia"/>
        </w:rPr>
        <w:t xml:space="preserve"> 15146.1—</w:t>
      </w:r>
      <w:r>
        <w:t>2008</w:t>
      </w:r>
      <w:r>
        <w:rPr>
          <w:rFonts w:hint="eastAsia"/>
        </w:rPr>
        <w:t>相比，除结构调整和编辑性改动外，主要技术变化如下：</w:t>
      </w:r>
    </w:p>
    <w:p>
      <w:pPr>
        <w:pStyle w:val="135"/>
        <w:jc w:val="both"/>
      </w:pPr>
      <w:r>
        <w:rPr>
          <w:rFonts w:hint="eastAsia"/>
        </w:rPr>
        <w:t>标准名称改为“核临界安全管理规定”；</w:t>
      </w:r>
    </w:p>
    <w:p>
      <w:pPr>
        <w:pStyle w:val="135"/>
        <w:jc w:val="both"/>
      </w:pPr>
      <w:r>
        <w:rPr>
          <w:rFonts w:hint="eastAsia"/>
        </w:rPr>
        <w:t>增加了“</w:t>
      </w:r>
      <w:bookmarkStart w:id="20" w:name="OLE_LINK8"/>
      <w:bookmarkStart w:id="21" w:name="OLE_LINK9"/>
      <w:r>
        <w:rPr>
          <w:rFonts w:hint="eastAsia"/>
        </w:rPr>
        <w:t>反应堆外易裂变材料</w:t>
      </w:r>
      <w:bookmarkEnd w:id="20"/>
      <w:bookmarkEnd w:id="21"/>
      <w:r>
        <w:rPr>
          <w:rFonts w:hint="eastAsia"/>
        </w:rPr>
        <w:t>”“核临界安全”“核临界事故”“核临界安全技术人员”“</w:t>
      </w:r>
      <w:bookmarkStart w:id="22" w:name="OLE_LINK11"/>
      <w:bookmarkStart w:id="23" w:name="OLE_LINK10"/>
      <w:r>
        <w:rPr>
          <w:rFonts w:hint="eastAsia"/>
        </w:rPr>
        <w:t>核临界安全控制</w:t>
      </w:r>
      <w:bookmarkEnd w:id="22"/>
      <w:bookmarkEnd w:id="23"/>
      <w:r>
        <w:rPr>
          <w:rFonts w:hint="eastAsia"/>
        </w:rPr>
        <w:t>”“</w:t>
      </w:r>
      <w:bookmarkStart w:id="24" w:name="OLE_LINK12"/>
      <w:bookmarkStart w:id="25" w:name="OLE_LINK13"/>
      <w:r>
        <w:rPr>
          <w:rFonts w:hint="eastAsia"/>
        </w:rPr>
        <w:t>工程控制措施</w:t>
      </w:r>
      <w:bookmarkEnd w:id="24"/>
      <w:bookmarkEnd w:id="25"/>
      <w:r>
        <w:rPr>
          <w:rFonts w:hint="eastAsia"/>
        </w:rPr>
        <w:t>”“</w:t>
      </w:r>
      <w:bookmarkStart w:id="26" w:name="OLE_LINK14"/>
      <w:bookmarkStart w:id="27" w:name="OLE_LINK15"/>
      <w:r>
        <w:rPr>
          <w:rFonts w:hint="eastAsia"/>
        </w:rPr>
        <w:t>核临界安全控制限值</w:t>
      </w:r>
      <w:bookmarkEnd w:id="26"/>
      <w:bookmarkEnd w:id="27"/>
      <w:r>
        <w:rPr>
          <w:rFonts w:hint="eastAsia"/>
        </w:rPr>
        <w:t>”“</w:t>
      </w:r>
      <w:bookmarkStart w:id="28" w:name="OLE_LINK17"/>
      <w:bookmarkStart w:id="29" w:name="OLE_LINK16"/>
      <w:r>
        <w:rPr>
          <w:rFonts w:hint="eastAsia"/>
        </w:rPr>
        <w:t>核临界未遂事件</w:t>
      </w:r>
      <w:bookmarkEnd w:id="28"/>
      <w:bookmarkEnd w:id="29"/>
      <w:r>
        <w:rPr>
          <w:rFonts w:hint="eastAsia"/>
        </w:rPr>
        <w:t>”的定义（见3</w:t>
      </w:r>
      <w:r>
        <w:t>.1</w:t>
      </w:r>
      <w:r>
        <w:rPr>
          <w:rFonts w:hint="eastAsia"/>
        </w:rPr>
        <w:t>、3.2、3.3、3</w:t>
      </w:r>
      <w:r>
        <w:t>.</w:t>
      </w:r>
      <w:r>
        <w:rPr>
          <w:rFonts w:hint="eastAsia"/>
        </w:rPr>
        <w:t>5、3</w:t>
      </w:r>
      <w:r>
        <w:t>.7</w:t>
      </w:r>
      <w:r>
        <w:rPr>
          <w:rFonts w:hint="eastAsia"/>
        </w:rPr>
        <w:t>、3</w:t>
      </w:r>
      <w:r>
        <w:t>.8</w:t>
      </w:r>
      <w:r>
        <w:rPr>
          <w:rFonts w:hint="eastAsia"/>
        </w:rPr>
        <w:t>、3</w:t>
      </w:r>
      <w:r>
        <w:t>.9</w:t>
      </w:r>
      <w:r>
        <w:rPr>
          <w:rFonts w:hint="eastAsia"/>
        </w:rPr>
        <w:t>、3.10）；</w:t>
      </w:r>
    </w:p>
    <w:p>
      <w:pPr>
        <w:pStyle w:val="135"/>
        <w:jc w:val="both"/>
      </w:pPr>
      <w:r>
        <w:rPr>
          <w:rFonts w:hint="eastAsia"/>
        </w:rPr>
        <w:t>更改了核临界安全管理总则，参考了《中华人民共和国核安全法》《中华人民共和国原子能法》《</w:t>
      </w:r>
      <w:r>
        <w:t>中华人民共和国</w:t>
      </w:r>
      <w:r>
        <w:rPr>
          <w:rFonts w:hint="eastAsia"/>
        </w:rPr>
        <w:t>安全生产法》等法律法规要求（见第4章，2</w:t>
      </w:r>
      <w:r>
        <w:t>008</w:t>
      </w:r>
      <w:r>
        <w:rPr>
          <w:rFonts w:hint="eastAsia"/>
        </w:rPr>
        <w:t>年版的第3章）；</w:t>
      </w:r>
    </w:p>
    <w:p>
      <w:pPr>
        <w:pStyle w:val="135"/>
        <w:jc w:val="both"/>
      </w:pPr>
      <w:bookmarkStart w:id="30" w:name="_Hlk231460785"/>
      <w:r>
        <w:rPr>
          <w:rFonts w:hint="eastAsia"/>
        </w:rPr>
        <w:t>增加了核设施营运单位</w:t>
      </w:r>
      <w:bookmarkEnd w:id="30"/>
      <w:r>
        <w:rPr>
          <w:rFonts w:hint="eastAsia"/>
        </w:rPr>
        <w:t>有关管理体系建设、财务资源保障、受托方统一监管等责任（见5</w:t>
      </w:r>
      <w:r>
        <w:t>.1</w:t>
      </w:r>
      <w:r>
        <w:rPr>
          <w:rFonts w:hint="eastAsia"/>
        </w:rPr>
        <w:t>，2</w:t>
      </w:r>
      <w:r>
        <w:t>008</w:t>
      </w:r>
      <w:r>
        <w:rPr>
          <w:rFonts w:hint="eastAsia"/>
        </w:rPr>
        <w:t>年版的4</w:t>
      </w:r>
      <w:r>
        <w:t>.1</w:t>
      </w:r>
      <w:r>
        <w:rPr>
          <w:rFonts w:hint="eastAsia"/>
        </w:rPr>
        <w:t>）；</w:t>
      </w:r>
    </w:p>
    <w:p>
      <w:pPr>
        <w:pStyle w:val="135"/>
        <w:jc w:val="both"/>
      </w:pPr>
      <w:r>
        <w:rPr>
          <w:rFonts w:hint="eastAsia"/>
        </w:rPr>
        <w:t>细化了核临界安全评价要求（见第</w:t>
      </w:r>
      <w:r>
        <w:t>6</w:t>
      </w:r>
      <w:r>
        <w:rPr>
          <w:rFonts w:hint="eastAsia"/>
        </w:rPr>
        <w:t>章，2</w:t>
      </w:r>
      <w:r>
        <w:t>008</w:t>
      </w:r>
      <w:r>
        <w:rPr>
          <w:rFonts w:hint="eastAsia"/>
        </w:rPr>
        <w:t>年版的第</w:t>
      </w:r>
      <w:r>
        <w:t>5</w:t>
      </w:r>
      <w:r>
        <w:rPr>
          <w:rFonts w:hint="eastAsia"/>
        </w:rPr>
        <w:t>章）；</w:t>
      </w:r>
    </w:p>
    <w:p>
      <w:pPr>
        <w:pStyle w:val="135"/>
        <w:jc w:val="both"/>
      </w:pPr>
      <w:r>
        <w:rPr>
          <w:rFonts w:hint="eastAsia"/>
        </w:rPr>
        <w:t>增加了规程编制要求（见7</w:t>
      </w:r>
      <w:r>
        <w:t>.2</w:t>
      </w:r>
      <w:r>
        <w:rPr>
          <w:rFonts w:hint="eastAsia"/>
        </w:rPr>
        <w:t>）；</w:t>
      </w:r>
    </w:p>
    <w:p>
      <w:pPr>
        <w:pStyle w:val="135"/>
        <w:jc w:val="both"/>
      </w:pPr>
      <w:r>
        <w:rPr>
          <w:rFonts w:hint="eastAsia"/>
        </w:rPr>
        <w:t>增加了岗位核临界安全控制卡制度要求（见7</w:t>
      </w:r>
      <w:r>
        <w:t>.3</w:t>
      </w:r>
      <w:r>
        <w:rPr>
          <w:rFonts w:hint="eastAsia"/>
        </w:rPr>
        <w:t>）；</w:t>
      </w:r>
    </w:p>
    <w:p>
      <w:pPr>
        <w:pStyle w:val="135"/>
        <w:jc w:val="both"/>
      </w:pPr>
      <w:r>
        <w:rPr>
          <w:rFonts w:hint="eastAsia"/>
        </w:rPr>
        <w:t>增加了运行管理要求（见第8章）</w:t>
      </w:r>
    </w:p>
    <w:p>
      <w:pPr>
        <w:pStyle w:val="135"/>
        <w:jc w:val="both"/>
      </w:pPr>
      <w:r>
        <w:rPr>
          <w:rFonts w:hint="eastAsia"/>
        </w:rPr>
        <w:t>更改了培训考核要求（见第</w:t>
      </w:r>
      <w:r>
        <w:t>10</w:t>
      </w:r>
      <w:r>
        <w:rPr>
          <w:rFonts w:hint="eastAsia"/>
        </w:rPr>
        <w:t>章，2</w:t>
      </w:r>
      <w:r>
        <w:t>008</w:t>
      </w:r>
      <w:r>
        <w:rPr>
          <w:rFonts w:hint="eastAsia"/>
        </w:rPr>
        <w:t>年版的第8章）；</w:t>
      </w:r>
    </w:p>
    <w:p>
      <w:pPr>
        <w:pStyle w:val="135"/>
        <w:jc w:val="both"/>
      </w:pPr>
      <w:r>
        <w:rPr>
          <w:rFonts w:hint="eastAsia"/>
        </w:rPr>
        <w:t>增加了应急准备要求（见第</w:t>
      </w:r>
      <w:r>
        <w:t>11</w:t>
      </w:r>
      <w:r>
        <w:rPr>
          <w:rFonts w:hint="eastAsia"/>
        </w:rPr>
        <w:t>章）；</w:t>
      </w:r>
    </w:p>
    <w:p>
      <w:pPr>
        <w:pStyle w:val="135"/>
        <w:jc w:val="both"/>
      </w:pPr>
      <w:r>
        <w:rPr>
          <w:rFonts w:hint="eastAsia"/>
        </w:rPr>
        <w:t>更改了事故事件管理要求，将未遂事故事件同等管理（见第</w:t>
      </w:r>
      <w:r>
        <w:t>12</w:t>
      </w:r>
      <w:r>
        <w:rPr>
          <w:rFonts w:hint="eastAsia"/>
        </w:rPr>
        <w:t>章，2</w:t>
      </w:r>
      <w:r>
        <w:t>008</w:t>
      </w:r>
      <w:r>
        <w:rPr>
          <w:rFonts w:hint="eastAsia"/>
        </w:rPr>
        <w:t>年版的第</w:t>
      </w:r>
      <w:r>
        <w:t>11</w:t>
      </w:r>
      <w:r>
        <w:rPr>
          <w:rFonts w:hint="eastAsia"/>
        </w:rPr>
        <w:t>章）。</w:t>
      </w:r>
    </w:p>
    <w:p>
      <w:pPr>
        <w:pStyle w:val="135"/>
        <w:jc w:val="both"/>
      </w:pPr>
      <w:r>
        <w:rPr>
          <w:rFonts w:hint="eastAsia"/>
        </w:rPr>
        <w:t>增加了持续改进要求（见第1</w:t>
      </w:r>
      <w:r>
        <w:t>3</w:t>
      </w:r>
      <w:r>
        <w:rPr>
          <w:rFonts w:hint="eastAsia"/>
        </w:rPr>
        <w:t>章）。</w:t>
      </w:r>
    </w:p>
    <w:p>
      <w:pPr>
        <w:pStyle w:val="135"/>
        <w:numPr>
          <w:ilvl w:val="0"/>
          <w:numId w:val="0"/>
        </w:numPr>
        <w:ind w:left="425"/>
      </w:pPr>
      <w:r>
        <w:rPr>
          <w:rFonts w:hint="eastAsia"/>
        </w:rPr>
        <w:t>请注意本文件的某些内容可能涉及专利。本文件的发布机构不承担识别专利的责任。</w:t>
      </w:r>
    </w:p>
    <w:p>
      <w:pPr>
        <w:pStyle w:val="59"/>
        <w:ind w:firstLine="420"/>
      </w:pPr>
      <w:r>
        <w:rPr>
          <w:rFonts w:hint="eastAsia"/>
        </w:rPr>
        <w:t>本文件由国家国防科技工业局提出并归口。</w:t>
      </w:r>
    </w:p>
    <w:p>
      <w:pPr>
        <w:pStyle w:val="59"/>
        <w:ind w:firstLine="420"/>
      </w:pPr>
      <w:r>
        <w:rPr>
          <w:rFonts w:hint="eastAsia"/>
        </w:rPr>
        <w:t>本文件于1</w:t>
      </w:r>
      <w:r>
        <w:t>994</w:t>
      </w:r>
      <w:r>
        <w:rPr>
          <w:rFonts w:hint="eastAsia"/>
        </w:rPr>
        <w:t>年首次发布，2</w:t>
      </w:r>
      <w:r>
        <w:t>008</w:t>
      </w:r>
      <w:r>
        <w:rPr>
          <w:rFonts w:hint="eastAsia"/>
        </w:rPr>
        <w:t>年第一次修订，本次为第二次修订。</w:t>
      </w:r>
    </w:p>
    <w:p>
      <w:pPr>
        <w:pStyle w:val="135"/>
        <w:numPr>
          <w:ilvl w:val="0"/>
          <w:numId w:val="0"/>
        </w:numPr>
        <w:ind w:left="851" w:hanging="426"/>
      </w:pPr>
    </w:p>
    <w:p>
      <w:pPr>
        <w:pStyle w:val="59"/>
        <w:ind w:firstLine="199" w:firstLineChars="95"/>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p>
    <w:bookmarkEnd w:id="18"/>
    <w:p>
      <w:pPr>
        <w:pStyle w:val="92"/>
        <w:spacing w:after="468"/>
      </w:pPr>
      <w:bookmarkStart w:id="31" w:name="BookMark3"/>
      <w:r>
        <w:rPr>
          <w:spacing w:val="320"/>
        </w:rPr>
        <w:t>引</w:t>
      </w:r>
      <w:r>
        <w:t>言</w:t>
      </w:r>
    </w:p>
    <w:p>
      <w:pPr>
        <w:pStyle w:val="59"/>
        <w:ind w:firstLine="420"/>
      </w:pPr>
      <w:r>
        <w:rPr>
          <w:rFonts w:ascii="Times New Roman"/>
        </w:rPr>
        <w:t>GB</w:t>
      </w:r>
      <w:r>
        <w:rPr>
          <w:rFonts w:hAnsi="宋体"/>
        </w:rPr>
        <w:t>(/</w:t>
      </w:r>
      <w:r>
        <w:rPr>
          <w:rFonts w:ascii="Times New Roman"/>
        </w:rPr>
        <w:t>T</w:t>
      </w:r>
      <w:r>
        <w:rPr>
          <w:rFonts w:hAnsi="宋体"/>
        </w:rPr>
        <w:t xml:space="preserve">) </w:t>
      </w:r>
      <w:r>
        <w:t>15146</w:t>
      </w:r>
      <w:r>
        <w:rPr>
          <w:rFonts w:hint="eastAsia"/>
        </w:rPr>
        <w:t>《反应堆外易裂变材料的核临界安全》是在全面、深入研究国内外核临界安全管理的基础上，结合我国的具体情况制定的，是对我国反应堆外易裂变材料的核临界安全实行规范化管理的技术依据。</w:t>
      </w:r>
      <w:r>
        <w:rPr>
          <w:rFonts w:ascii="Times New Roman"/>
        </w:rPr>
        <w:t>GB</w:t>
      </w:r>
      <w:r>
        <w:rPr>
          <w:rFonts w:hAnsi="宋体"/>
        </w:rPr>
        <w:t>(/</w:t>
      </w:r>
      <w:r>
        <w:rPr>
          <w:rFonts w:ascii="Times New Roman"/>
        </w:rPr>
        <w:t>T</w:t>
      </w:r>
      <w:r>
        <w:rPr>
          <w:rFonts w:hAnsi="宋体"/>
        </w:rPr>
        <w:t xml:space="preserve">) </w:t>
      </w:r>
      <w:r>
        <w:t>15146</w:t>
      </w:r>
      <w:r>
        <w:rPr>
          <w:rFonts w:hint="eastAsia"/>
        </w:rPr>
        <w:t>拟由以下构成。</w:t>
      </w:r>
    </w:p>
    <w:p>
      <w:pPr>
        <w:pStyle w:val="135"/>
      </w:pPr>
      <w:r>
        <w:rPr>
          <w:rFonts w:hint="eastAsia"/>
        </w:rPr>
        <w:t>第1部分：核临界安全管理规定。目的在于规定反应堆外易裂变材料加工、处理、操作、贮存的核临界安全管理的基本要求。</w:t>
      </w:r>
    </w:p>
    <w:p>
      <w:pPr>
        <w:pStyle w:val="135"/>
      </w:pPr>
      <w:r>
        <w:rPr>
          <w:rFonts w:hint="eastAsia"/>
        </w:rPr>
        <w:t>第2部分：易裂变材料操作、加工、处理的基本技术规则与次临界限值。目的在于规定反应堆外易裂变材料操作、加工、处理的基本技术规则和一些几何形状简单的易裂变材料单体的次临界限值，以及确立核临界安全评价用计算方法的有效性和适用范围。</w:t>
      </w:r>
    </w:p>
    <w:p>
      <w:pPr>
        <w:pStyle w:val="135"/>
      </w:pPr>
      <w:r>
        <w:rPr>
          <w:rFonts w:hint="eastAsia"/>
        </w:rPr>
        <w:t>第3部分：易裂变材料贮存的核临界安全要求。目的在于规定易裂变材料贮存中有关核临界安全的基本要求和限值。</w:t>
      </w:r>
    </w:p>
    <w:p>
      <w:pPr>
        <w:pStyle w:val="135"/>
      </w:pPr>
      <w:r>
        <w:rPr>
          <w:rFonts w:hint="eastAsia"/>
        </w:rPr>
        <w:t>第</w:t>
      </w:r>
      <w:r>
        <w:t>4</w:t>
      </w:r>
      <w:r>
        <w:rPr>
          <w:rFonts w:hint="eastAsia"/>
        </w:rPr>
        <w:t>部分：含易裂变物质水溶液的钢质管道交接的核临界安全准则。目的在于规定含铀或钚均匀水溶液钢质管道交接的核临界安全技术准则和技术条件。</w:t>
      </w:r>
    </w:p>
    <w:p>
      <w:pPr>
        <w:pStyle w:val="135"/>
      </w:pPr>
      <w:r>
        <w:rPr>
          <w:rFonts w:hint="eastAsia"/>
        </w:rPr>
        <w:t>第5部分：钚-天然铀混合物的核临界控制准则和次临界限值。目的在于规定操作、加工、处理钚-天然铀混合物的核临界控制准则和几何形状简单的钚-天然轴混合物孤立单元的某些次临界限值。</w:t>
      </w:r>
    </w:p>
    <w:p>
      <w:pPr>
        <w:pStyle w:val="135"/>
      </w:pPr>
      <w:r>
        <w:rPr>
          <w:rFonts w:hint="eastAsia"/>
        </w:rPr>
        <w:t>第6部分：硼硅酸盐玻璃拉希环及其应用准则。目的在于规定易裂变材料溶液中使用硼硅酸盐玻璃拉希环作为中子吸收剂的化学环境、物理环境、环和装环容器的技术要求、维护检查程序及次临界限值。</w:t>
      </w:r>
    </w:p>
    <w:p>
      <w:pPr>
        <w:pStyle w:val="135"/>
      </w:pPr>
      <w:r>
        <w:rPr>
          <w:rFonts w:hint="eastAsia"/>
        </w:rPr>
        <w:t>第7部分：次临界中子增殖就地测量安全规定。目的在于规定次临界易裂变系统中子增殖就地测量的安全要求和实施规则。</w:t>
      </w:r>
    </w:p>
    <w:p>
      <w:pPr>
        <w:pStyle w:val="135"/>
      </w:pPr>
      <w:r>
        <w:rPr>
          <w:rFonts w:hint="eastAsia"/>
        </w:rPr>
        <w:t>第8部分：堆外操作、贮存、运输轻水堆燃料的核临界安全准则。目的在于规定堆外操作、贮存和运输轻水堆燃料棒和燃料单元的核临界安全准则。</w:t>
      </w:r>
    </w:p>
    <w:p>
      <w:pPr>
        <w:pStyle w:val="135"/>
      </w:pPr>
      <w:r>
        <w:rPr>
          <w:rFonts w:hint="eastAsia"/>
        </w:rPr>
        <w:t>第9部分：核临界事故探测与报警系统的性能及检验要求。目的在于规定临界事故探测及报警系统的性能和检验要求。</w:t>
      </w:r>
    </w:p>
    <w:p>
      <w:pPr>
        <w:pStyle w:val="135"/>
      </w:pPr>
      <w:r>
        <w:rPr>
          <w:rFonts w:hint="eastAsia"/>
        </w:rPr>
        <w:t>第1</w:t>
      </w:r>
      <w:r>
        <w:t>0</w:t>
      </w:r>
      <w:r>
        <w:rPr>
          <w:rFonts w:hint="eastAsia"/>
        </w:rPr>
        <w:t>部分：固定中子吸收体的应用安全要求。目的在于规定作为反应堆外核设施和易裂变材料工艺设备的有机组成部分，并提供核临界安全控制作用的固定中子吸收体的应用安全要求。</w:t>
      </w:r>
    </w:p>
    <w:p>
      <w:pPr>
        <w:pStyle w:val="135"/>
      </w:pPr>
      <w:r>
        <w:rPr>
          <w:rFonts w:hint="eastAsia"/>
        </w:rPr>
        <w:t>第1</w:t>
      </w:r>
      <w:r>
        <w:t>1</w:t>
      </w:r>
      <w:r>
        <w:rPr>
          <w:rFonts w:hint="eastAsia"/>
        </w:rPr>
        <w:t>部分：基于限制和控制慢化剂的核临界安全。目的在于规定通过在慢化剂控制区中限制和控制慢化剂保证易裂变材料核临界安全的方法和要求。</w:t>
      </w:r>
    </w:p>
    <w:p>
      <w:pPr>
        <w:pStyle w:val="135"/>
      </w:pPr>
      <w:r>
        <w:rPr>
          <w:rFonts w:hint="eastAsia"/>
        </w:rPr>
        <w:t>第12部分：轻水堆燃料燃耗信用制。目的在于规定商用轻水堆二氧化铀燃料组件在贮存和运输的临界安全控制中考虑燃料辐照和放射性衰变引起的反应性效应的准则，以及在临界安全评价的输入中描述燃料燃耗的要求。</w:t>
      </w:r>
    </w:p>
    <w:p>
      <w:pPr>
        <w:pStyle w:val="135"/>
      </w:pPr>
      <w:r>
        <w:rPr>
          <w:rFonts w:hint="eastAsia"/>
        </w:rPr>
        <w:t>第1</w:t>
      </w:r>
      <w:r>
        <w:t>3</w:t>
      </w:r>
      <w:r>
        <w:rPr>
          <w:rFonts w:hint="eastAsia"/>
        </w:rPr>
        <w:t>部分：假想临界事故裂变次数估算方法。目的在于</w:t>
      </w:r>
      <w:r>
        <w:t>提供一种估计假想临界事故的裂变次数合理最大值的方法。</w:t>
      </w:r>
    </w:p>
    <w:p>
      <w:pPr>
        <w:pStyle w:val="135"/>
      </w:pPr>
      <w:r>
        <w:rPr>
          <w:rFonts w:hint="eastAsia"/>
        </w:rPr>
        <w:t>第14部分：核临界安全培训。目的在于规定</w:t>
      </w:r>
      <w:r>
        <w:t>涉及反应堆外易裂变材料的操作人员、操作主管、管理人员及其他相关人员核临界安全培训的基本要求。</w:t>
      </w:r>
    </w:p>
    <w:p>
      <w:pPr>
        <w:pStyle w:val="59"/>
        <w:ind w:firstLine="420"/>
      </w:pPr>
      <w:bookmarkStart w:id="32" w:name="OLE_LINK1"/>
      <w:r>
        <w:rPr>
          <w:rFonts w:ascii="Times New Roman"/>
        </w:rPr>
        <w:t>GB</w:t>
      </w:r>
      <w:r>
        <w:rPr>
          <w:rFonts w:hint="eastAsia"/>
        </w:rPr>
        <w:t xml:space="preserve"> 15146.1的制定目的在于作为我国反应堆外易裂变材料核临界安全管理的基础性标准，明确了核临界安全管理的基本框架和要求，为规范各相关单位管理行为、落实安全责任、防范核临界风险提供了重要依据。</w:t>
      </w:r>
    </w:p>
    <w:bookmarkEnd w:id="32"/>
    <w:p>
      <w:pPr>
        <w:pStyle w:val="59"/>
        <w:ind w:firstLine="420"/>
      </w:pPr>
    </w:p>
    <w:p>
      <w:pPr>
        <w:pStyle w:val="59"/>
        <w:ind w:firstLine="420"/>
      </w:pPr>
    </w:p>
    <w:p>
      <w:pPr>
        <w:pStyle w:val="59"/>
        <w:ind w:firstLine="420"/>
        <w:sectPr>
          <w:pgSz w:w="11906" w:h="16838"/>
          <w:pgMar w:top="1928" w:right="1134" w:bottom="1134" w:left="1134" w:header="1418" w:footer="1134" w:gutter="284"/>
          <w:pgNumType w:fmt="upperRoman"/>
          <w:cols w:space="425" w:num="1"/>
          <w:formProt w:val="0"/>
          <w:docGrid w:type="lines" w:linePitch="312" w:charSpace="0"/>
        </w:sectPr>
      </w:pPr>
    </w:p>
    <w:bookmarkEnd w:id="31"/>
    <w:p>
      <w:pPr>
        <w:spacing w:line="20" w:lineRule="exact"/>
        <w:jc w:val="center"/>
        <w:rPr>
          <w:rFonts w:ascii="黑体" w:hAnsi="黑体" w:eastAsia="黑体"/>
          <w:sz w:val="32"/>
          <w:szCs w:val="32"/>
        </w:rPr>
      </w:pPr>
      <w:bookmarkStart w:id="33" w:name="BookMark4"/>
    </w:p>
    <w:p>
      <w:pPr>
        <w:spacing w:line="20" w:lineRule="exact"/>
        <w:jc w:val="center"/>
        <w:rPr>
          <w:rFonts w:ascii="黑体" w:hAnsi="黑体" w:eastAsia="黑体"/>
          <w:sz w:val="32"/>
          <w:szCs w:val="32"/>
        </w:rPr>
      </w:pPr>
    </w:p>
    <w:sdt>
      <w:sdtPr>
        <w:tag w:val="NEW_STAND_NAME"/>
        <w:id w:val="595910757"/>
        <w:lock w:val="sdtLocked"/>
        <w:placeholder>
          <w:docPart w:val="4C600D4CDA4E431FA90158BC5B8AB9EA"/>
        </w:placeholder>
      </w:sdtPr>
      <w:sdtContent>
        <w:p>
          <w:pPr>
            <w:pStyle w:val="180"/>
            <w:spacing w:before="3" w:beforeLines="1" w:after="3" w:afterLines="1"/>
          </w:pPr>
          <w:bookmarkStart w:id="34" w:name="OLE_LINK2"/>
          <w:bookmarkStart w:id="35" w:name="NEW_STAND_NAME"/>
          <w:r>
            <w:rPr>
              <w:rFonts w:hint="eastAsia"/>
            </w:rPr>
            <w:t>反应堆外易裂变材料的核临界安全</w:t>
          </w:r>
        </w:p>
        <w:p>
          <w:pPr>
            <w:pStyle w:val="180"/>
            <w:spacing w:before="3" w:beforeLines="1" w:after="680"/>
          </w:pPr>
          <w:r>
            <w:rPr>
              <w:rFonts w:hint="eastAsia"/>
            </w:rPr>
            <w:t>第</w:t>
          </w:r>
          <w:r>
            <w:t>1部分：核临界安全</w:t>
          </w:r>
          <w:r>
            <w:rPr>
              <w:rFonts w:hint="eastAsia"/>
            </w:rPr>
            <w:t>管理</w:t>
          </w:r>
          <w:r>
            <w:t>规定</w:t>
          </w:r>
        </w:p>
      </w:sdtContent>
    </w:sdt>
    <w:bookmarkEnd w:id="34"/>
    <w:bookmarkEnd w:id="35"/>
    <w:p>
      <w:pPr>
        <w:pStyle w:val="107"/>
        <w:spacing w:before="312" w:after="312"/>
      </w:pPr>
      <w:bookmarkStart w:id="36" w:name="_Toc24884218"/>
      <w:bookmarkStart w:id="37" w:name="_Toc26718930"/>
      <w:bookmarkStart w:id="38" w:name="_Toc17233325"/>
      <w:bookmarkStart w:id="39" w:name="_Toc17233333"/>
      <w:bookmarkStart w:id="40" w:name="_Toc26648465"/>
      <w:bookmarkStart w:id="41" w:name="_Toc26986530"/>
      <w:bookmarkStart w:id="42" w:name="_Toc26986771"/>
      <w:bookmarkStart w:id="43" w:name="_Toc97190718"/>
      <w:bookmarkStart w:id="44" w:name="_Toc24884211"/>
      <w:r>
        <w:rPr>
          <w:rFonts w:hint="eastAsia"/>
        </w:rPr>
        <w:t>范围</w:t>
      </w:r>
      <w:bookmarkEnd w:id="36"/>
      <w:bookmarkEnd w:id="37"/>
      <w:bookmarkEnd w:id="38"/>
      <w:bookmarkEnd w:id="39"/>
      <w:bookmarkEnd w:id="40"/>
      <w:bookmarkEnd w:id="41"/>
      <w:bookmarkEnd w:id="42"/>
      <w:bookmarkEnd w:id="43"/>
      <w:bookmarkEnd w:id="44"/>
    </w:p>
    <w:p>
      <w:pPr>
        <w:pStyle w:val="59"/>
        <w:ind w:firstLine="420"/>
      </w:pPr>
      <w:bookmarkStart w:id="45" w:name="_Toc24884219"/>
      <w:bookmarkStart w:id="46" w:name="_Toc26648466"/>
      <w:bookmarkStart w:id="47" w:name="_Toc17233334"/>
      <w:bookmarkStart w:id="48" w:name="_Toc17233326"/>
      <w:bookmarkStart w:id="49" w:name="_Toc24884212"/>
      <w:r>
        <w:rPr>
          <w:rFonts w:hint="eastAsia"/>
        </w:rPr>
        <w:t>本文件规定了反应堆外易裂变材料的核临界安全管理总则、核临界安全责任、核临界安全评价、制度规程、运行管理、监督检查、培训考核、应急准备、事故事件管理、持续改进等要求。</w:t>
      </w:r>
    </w:p>
    <w:p>
      <w:pPr>
        <w:pStyle w:val="59"/>
        <w:ind w:firstLine="420"/>
      </w:pPr>
      <w:r>
        <w:rPr>
          <w:rFonts w:hint="eastAsia"/>
        </w:rPr>
        <w:t>本文件适用于反应堆外易裂变材料的加工、处理、操作、贮存等环节的核临界安全管理。</w:t>
      </w:r>
    </w:p>
    <w:p>
      <w:pPr>
        <w:pStyle w:val="59"/>
        <w:ind w:firstLine="420"/>
      </w:pPr>
      <w:r>
        <w:rPr>
          <w:rFonts w:hint="eastAsia"/>
        </w:rPr>
        <w:t>本文件不适用于受控条件下易裂变材料组装（如次临界、临界实验）的核临界安全管理。</w:t>
      </w:r>
    </w:p>
    <w:p>
      <w:pPr>
        <w:pStyle w:val="107"/>
        <w:spacing w:before="312" w:after="312"/>
      </w:pPr>
      <w:bookmarkStart w:id="50" w:name="_Toc26986772"/>
      <w:bookmarkStart w:id="51" w:name="_Toc26986531"/>
      <w:bookmarkStart w:id="52" w:name="_Toc26718931"/>
      <w:bookmarkStart w:id="53" w:name="_Toc97190719"/>
      <w:r>
        <w:rPr>
          <w:rFonts w:hint="eastAsia"/>
        </w:rPr>
        <w:t>规范性引用文件</w:t>
      </w:r>
      <w:bookmarkEnd w:id="45"/>
      <w:bookmarkEnd w:id="46"/>
      <w:bookmarkEnd w:id="47"/>
      <w:bookmarkEnd w:id="48"/>
      <w:bookmarkEnd w:id="49"/>
      <w:bookmarkEnd w:id="50"/>
      <w:bookmarkEnd w:id="51"/>
      <w:bookmarkEnd w:id="52"/>
      <w:bookmarkEnd w:id="53"/>
    </w:p>
    <w:sdt>
      <w:sdtPr>
        <w:rPr>
          <w:rFonts w:hint="eastAsia"/>
        </w:rPr>
        <w:id w:val="715848253"/>
        <w:placeholder>
          <w:docPart w:val="244E6DEEB5EB458FA4D64563076CD22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9"/>
            <w:ind w:firstLine="420"/>
          </w:pPr>
          <w:r>
            <w:rPr>
              <w:rFonts w:hint="eastAsia"/>
            </w:rPr>
            <w:t>本文件没有规范性引用文件。</w:t>
          </w:r>
        </w:p>
      </w:sdtContent>
    </w:sdt>
    <w:p>
      <w:pPr>
        <w:pStyle w:val="107"/>
        <w:spacing w:before="312" w:after="312"/>
      </w:pPr>
      <w:bookmarkStart w:id="54" w:name="_Toc97190720"/>
      <w:r>
        <w:rPr>
          <w:rFonts w:hint="eastAsia"/>
          <w:szCs w:val="21"/>
        </w:rPr>
        <w:t>术语和定义</w:t>
      </w:r>
      <w:bookmarkEnd w:id="54"/>
    </w:p>
    <w:sdt>
      <w:sdtPr>
        <w:rPr>
          <w:rFonts w:hAnsi="宋体"/>
          <w:szCs w:val="24"/>
        </w:rPr>
        <w:id w:val="-1909835108"/>
        <w:placeholder>
          <w:docPart w:val="244E6DEEB5EB458FA4D64563076CD22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Ansi="宋体"/>
          <w:szCs w:val="24"/>
        </w:rPr>
      </w:sdtEndPr>
      <w:sdtContent>
        <w:p>
          <w:pPr>
            <w:pStyle w:val="59"/>
            <w:ind w:firstLine="420"/>
            <w:rPr>
              <w:sz w:val="18"/>
            </w:rPr>
          </w:pPr>
          <w:bookmarkStart w:id="55" w:name="_Toc26986532"/>
          <w:bookmarkEnd w:id="55"/>
          <w:bookmarkStart w:id="56" w:name="OLE_LINK3"/>
          <w:bookmarkEnd w:id="56"/>
          <w:r>
            <w:rPr>
              <w:rFonts w:hAnsi="宋体"/>
              <w:szCs w:val="24"/>
            </w:rPr>
            <w:t>下列术语和定义适用于本文件。</w:t>
          </w:r>
        </w:p>
      </w:sdtContent>
    </w:sdt>
    <w:p>
      <w:pPr>
        <w:pStyle w:val="226"/>
        <w:ind w:left="420" w:hanging="420" w:hangingChars="200"/>
        <w:rPr>
          <w:rFonts w:ascii="黑体" w:hAnsi="黑体" w:eastAsia="黑体"/>
        </w:rPr>
      </w:pPr>
      <w:r>
        <w:rPr>
          <w:rFonts w:ascii="黑体" w:hAnsi="黑体"/>
        </w:rPr>
        <w:br w:type="textWrapping"/>
      </w:r>
      <w:r>
        <w:rPr>
          <w:rFonts w:hint="eastAsia" w:ascii="黑体" w:hAnsi="黑体" w:eastAsia="黑体"/>
        </w:rPr>
        <w:t xml:space="preserve">反应堆外易裂变材料  </w:t>
      </w:r>
      <w:r>
        <w:rPr>
          <w:rFonts w:ascii="黑体" w:hAnsi="黑体" w:eastAsia="黑体"/>
        </w:rPr>
        <w:t>fissile materials outside reactors</w:t>
      </w:r>
    </w:p>
    <w:p>
      <w:pPr>
        <w:pStyle w:val="59"/>
        <w:ind w:firstLine="420"/>
      </w:pPr>
      <w:r>
        <w:rPr>
          <w:rFonts w:hint="eastAsia"/>
        </w:rPr>
        <w:t>核反应堆本体以外，含有铀</w:t>
      </w:r>
      <w:r>
        <w:t>233</w:t>
      </w:r>
      <w:r>
        <w:rPr>
          <w:rFonts w:hint="eastAsia"/>
        </w:rPr>
        <w:t>、铀</w:t>
      </w:r>
      <w:r>
        <w:t>235</w:t>
      </w:r>
      <w:r>
        <w:rPr>
          <w:rFonts w:hint="eastAsia"/>
        </w:rPr>
        <w:t>、钚</w:t>
      </w:r>
      <w:r>
        <w:t>239</w:t>
      </w:r>
      <w:r>
        <w:rPr>
          <w:rFonts w:hint="eastAsia"/>
        </w:rPr>
        <w:t>及其他可在特定条件下发生自持链式裂变反应材料，包括金属、合金、氧化物、化合物、溶液、浆料、乏燃料、含易裂变核素的废料及相关制品。</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核临界安全 </w:t>
      </w:r>
      <w:r>
        <w:rPr>
          <w:rFonts w:ascii="黑体" w:hAnsi="黑体" w:eastAsia="黑体"/>
        </w:rPr>
        <w:t xml:space="preserve"> </w:t>
      </w:r>
      <w:r>
        <w:rPr>
          <w:rFonts w:hint="eastAsia" w:ascii="黑体" w:hAnsi="黑体" w:eastAsia="黑体"/>
        </w:rPr>
        <w:t>nuclear criticality safety</w:t>
      </w:r>
    </w:p>
    <w:p>
      <w:pPr>
        <w:pStyle w:val="59"/>
        <w:ind w:firstLine="420"/>
      </w:pPr>
      <w:r>
        <w:rPr>
          <w:rFonts w:hint="eastAsia"/>
        </w:rPr>
        <w:t>通过工程控制、技术手段、管理措施、培训授权、应急准备等综合措施，确保反应堆外易裂变材料系统始终处于次临界状态，防止发生自持或发散的链式裂变反应的安全状态。</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核临界事故 </w:t>
      </w:r>
      <w:r>
        <w:rPr>
          <w:rFonts w:ascii="黑体" w:hAnsi="黑体" w:eastAsia="黑体"/>
        </w:rPr>
        <w:t xml:space="preserve"> </w:t>
      </w:r>
      <w:r>
        <w:rPr>
          <w:rFonts w:hint="eastAsia" w:ascii="黑体" w:hAnsi="黑体" w:eastAsia="黑体"/>
        </w:rPr>
        <w:t>nuclear criticality accident</w:t>
      </w:r>
    </w:p>
    <w:p>
      <w:pPr>
        <w:pStyle w:val="59"/>
        <w:ind w:firstLine="420"/>
      </w:pPr>
      <w:r>
        <w:rPr>
          <w:rFonts w:hint="eastAsia"/>
        </w:rPr>
        <w:t>反应堆外易裂变材料系统意外达到或超过临界状态，引发自持或发散的链式裂变反应，造成的能量释放事件。</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核设施营运单位 </w:t>
      </w:r>
      <w:r>
        <w:rPr>
          <w:rFonts w:ascii="黑体" w:hAnsi="黑体" w:eastAsia="黑体"/>
        </w:rPr>
        <w:t xml:space="preserve"> </w:t>
      </w:r>
      <w:r>
        <w:rPr>
          <w:rFonts w:hint="eastAsia" w:ascii="黑体" w:hAnsi="黑体" w:eastAsia="黑体"/>
        </w:rPr>
        <w:t>nuclear facility operating organization</w:t>
      </w:r>
    </w:p>
    <w:p>
      <w:pPr>
        <w:pStyle w:val="59"/>
        <w:ind w:firstLine="420"/>
      </w:pPr>
      <w:r>
        <w:rPr>
          <w:rFonts w:hint="eastAsia"/>
        </w:rPr>
        <w:t>经国家主管部门和(或)核安全监督部门批准，负责经营、运行和管理核设施的法人单位。</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核临界安全技术人员  </w:t>
      </w:r>
      <w:r>
        <w:rPr>
          <w:rFonts w:ascii="黑体" w:hAnsi="黑体" w:eastAsia="黑体"/>
        </w:rPr>
        <w:t>nuclear criticality safety technician</w:t>
      </w:r>
    </w:p>
    <w:p>
      <w:pPr>
        <w:pStyle w:val="59"/>
        <w:ind w:firstLine="420"/>
      </w:pPr>
      <w:r>
        <w:rPr>
          <w:rFonts w:hint="eastAsia"/>
        </w:rPr>
        <w:t>营运单位内具备核临界安全专业知识与实践能力的专业人员。</w:t>
      </w:r>
    </w:p>
    <w:p>
      <w:pPr>
        <w:pStyle w:val="182"/>
      </w:pPr>
      <w:r>
        <w:rPr>
          <w:rFonts w:hint="eastAsia"/>
        </w:rPr>
        <w:t>核临界安全技术人员为单位内部核临界安全管理提供技术支撑，包括参与岗位临界风险分级、审核技术文件、指导操作执行、协助异常处置及落实培训与安全检查等，保障设施核临界安全。</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受托单位 </w:t>
      </w:r>
      <w:r>
        <w:rPr>
          <w:rFonts w:ascii="黑体" w:hAnsi="黑体" w:eastAsia="黑体"/>
        </w:rPr>
        <w:t xml:space="preserve"> </w:t>
      </w:r>
      <w:r>
        <w:rPr>
          <w:rFonts w:hint="eastAsia" w:ascii="黑体" w:hAnsi="黑体" w:eastAsia="黑体"/>
        </w:rPr>
        <w:t>contract organization</w:t>
      </w:r>
    </w:p>
    <w:p>
      <w:pPr>
        <w:pStyle w:val="59"/>
        <w:ind w:firstLine="420"/>
      </w:pPr>
      <w:r>
        <w:rPr>
          <w:rFonts w:hint="eastAsia"/>
        </w:rPr>
        <w:t>以合同或任务书方式，受核设施营运单位或国家主管部门委托，承担与营运单位的易裂变材料加工、处理、贮存、运输、检测、维修、技术服务或工程承包等相关服务有关的法人单位。</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核临界安全控制 </w:t>
      </w:r>
      <w:r>
        <w:rPr>
          <w:rFonts w:ascii="黑体" w:hAnsi="黑体" w:eastAsia="黑体"/>
        </w:rPr>
        <w:t xml:space="preserve"> </w:t>
      </w:r>
      <w:r>
        <w:rPr>
          <w:rFonts w:hint="eastAsia" w:ascii="黑体" w:hAnsi="黑体" w:eastAsia="黑体"/>
        </w:rPr>
        <w:t>nuclear criticality safety control</w:t>
      </w:r>
    </w:p>
    <w:p>
      <w:pPr>
        <w:pStyle w:val="59"/>
        <w:ind w:firstLine="420"/>
      </w:pPr>
      <w:r>
        <w:rPr>
          <w:rFonts w:hint="eastAsia"/>
        </w:rPr>
        <w:t>为预防易裂变材料意外达到或超过临界状态，以及在发生临界事故时减轻其对人员、环境和设施的后果，而采取的一系列管理措施、技术手段、运行控制和应急准备的统称。</w:t>
      </w:r>
    </w:p>
    <w:p>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工程控制措施 </w:t>
      </w:r>
      <w:r>
        <w:rPr>
          <w:rFonts w:ascii="黑体" w:hAnsi="黑体" w:eastAsia="黑体"/>
        </w:rPr>
        <w:t xml:space="preserve"> </w:t>
      </w:r>
      <w:r>
        <w:rPr>
          <w:rFonts w:hint="eastAsia" w:ascii="黑体" w:hAnsi="黑体" w:eastAsia="黑体"/>
        </w:rPr>
        <w:t>engineering controls</w:t>
      </w:r>
    </w:p>
    <w:p>
      <w:pPr>
        <w:pStyle w:val="59"/>
        <w:ind w:firstLine="420"/>
      </w:pPr>
      <w:r>
        <w:rPr>
          <w:rFonts w:hint="eastAsia"/>
        </w:rPr>
        <w:t>通过几何、质量、浓度、间距、中子吸收、慢化、反射等本质安全硬件屏障保障次临界的技术手段。</w:t>
      </w:r>
    </w:p>
    <w:p>
      <w:pPr>
        <w:pStyle w:val="226"/>
        <w:ind w:left="420" w:hanging="420" w:hangingChars="200"/>
        <w:rPr>
          <w:rFonts w:ascii="黑体" w:hAnsi="黑体" w:eastAsia="黑体"/>
        </w:rPr>
      </w:pPr>
    </w:p>
    <w:p>
      <w:pPr>
        <w:pStyle w:val="226"/>
        <w:numPr>
          <w:ilvl w:val="0"/>
          <w:numId w:val="0"/>
        </w:numPr>
        <w:ind w:left="420"/>
        <w:rPr>
          <w:rFonts w:ascii="黑体" w:hAnsi="黑体" w:eastAsia="黑体"/>
        </w:rPr>
      </w:pPr>
      <w:r>
        <w:rPr>
          <w:rFonts w:hint="eastAsia" w:ascii="黑体" w:hAnsi="黑体" w:eastAsia="黑体"/>
        </w:rPr>
        <w:t xml:space="preserve">核临界安全控制限值 </w:t>
      </w:r>
      <w:r>
        <w:rPr>
          <w:rFonts w:ascii="黑体" w:hAnsi="黑体" w:eastAsia="黑体"/>
        </w:rPr>
        <w:t xml:space="preserve"> </w:t>
      </w:r>
      <w:r>
        <w:rPr>
          <w:rFonts w:hint="eastAsia" w:ascii="黑体" w:hAnsi="黑体" w:eastAsia="黑体"/>
        </w:rPr>
        <w:t>nuclear criticality safety control limits</w:t>
      </w:r>
    </w:p>
    <w:p>
      <w:pPr>
        <w:pStyle w:val="59"/>
        <w:ind w:firstLine="420"/>
      </w:pPr>
      <w:r>
        <w:rPr>
          <w:rFonts w:hint="eastAsia"/>
        </w:rPr>
        <w:t>为保障反应堆外易裂变材料的次临界安全，对工艺、物料、设备参数设定的安全边界，含次临界限值、核临界安全运行限值、核临界安全操作限值。</w:t>
      </w:r>
    </w:p>
    <w:p>
      <w:pPr>
        <w:pStyle w:val="226"/>
        <w:ind w:left="420" w:hanging="420" w:hangingChars="200"/>
        <w:rPr>
          <w:rFonts w:ascii="黑体" w:hAnsi="黑体" w:eastAsia="黑体"/>
        </w:rPr>
      </w:pPr>
    </w:p>
    <w:p>
      <w:pPr>
        <w:pStyle w:val="226"/>
        <w:numPr>
          <w:ilvl w:val="0"/>
          <w:numId w:val="0"/>
        </w:numPr>
        <w:ind w:left="420"/>
        <w:rPr>
          <w:rFonts w:ascii="黑体" w:hAnsi="黑体" w:eastAsia="黑体"/>
        </w:rPr>
      </w:pPr>
      <w:r>
        <w:rPr>
          <w:rFonts w:hint="eastAsia" w:ascii="黑体" w:hAnsi="黑体" w:eastAsia="黑体"/>
        </w:rPr>
        <w:t>核临界未遂事件  nuclear criticality near-miss event</w:t>
      </w:r>
    </w:p>
    <w:p>
      <w:pPr>
        <w:pStyle w:val="59"/>
        <w:ind w:firstLine="420"/>
      </w:pPr>
      <w:r>
        <w:rPr>
          <w:rFonts w:hint="eastAsia"/>
        </w:rPr>
        <w:t>因及时干预或偶然因素，未实际发生核临界事故，但已具备发生核临界事故的条件或逼近临界状态的异常事件。</w:t>
      </w:r>
    </w:p>
    <w:p>
      <w:pPr>
        <w:pStyle w:val="182"/>
      </w:pPr>
      <w:r>
        <w:rPr>
          <w:rFonts w:hint="eastAsia"/>
        </w:rPr>
        <w:t>包括但不限于：超限值操作、联锁失效、屏蔽破坏、参数严重偏离等。</w:t>
      </w:r>
    </w:p>
    <w:p>
      <w:pPr>
        <w:pStyle w:val="107"/>
        <w:spacing w:before="312" w:after="312"/>
      </w:pPr>
      <w:r>
        <w:rPr>
          <w:rFonts w:hint="eastAsia"/>
        </w:rPr>
        <w:t>总则</w:t>
      </w:r>
    </w:p>
    <w:p>
      <w:pPr>
        <w:pStyle w:val="165"/>
      </w:pPr>
      <w:r>
        <w:rPr>
          <w:rFonts w:hint="eastAsia"/>
        </w:rPr>
        <w:t>核临界安全管理工作应贯彻“安全第一、预防为主、责任明确、严格管理、纵深防御、独立监管、全面保障”的方针，落实“理性、协调、并进”的核安全观，坚持“管行业必须管安全、管生产必须管安全、管业务必须管安全”和从严要求的原则。</w:t>
      </w:r>
    </w:p>
    <w:p>
      <w:pPr>
        <w:pStyle w:val="165"/>
      </w:pPr>
      <w:r>
        <w:rPr>
          <w:rFonts w:hint="eastAsia"/>
        </w:rPr>
        <w:t>核设施营运单位应将核临界安全管理纳入总的安全管理体系，遵守国家安全相关法律法规、标准规范，同时结合核临界安全专业性、技术性强的特点，实施专业化管理。</w:t>
      </w:r>
    </w:p>
    <w:p>
      <w:pPr>
        <w:pStyle w:val="165"/>
      </w:pPr>
      <w:r>
        <w:rPr>
          <w:rFonts w:hint="eastAsia"/>
        </w:rPr>
        <w:t>应建立健全包含核临界安全在内的安全生产责任体系，明确各部门、各单位及相关人员的核临界安全职责，确保责任到岗、责任到人、落实到位。</w:t>
      </w:r>
    </w:p>
    <w:p>
      <w:pPr>
        <w:pStyle w:val="165"/>
      </w:pPr>
      <w:r>
        <w:rPr>
          <w:rFonts w:hint="eastAsia"/>
        </w:rPr>
        <w:t>应优先采用几何安全等本质安全技术，构建多重独立屏障，防止单一故障引发核临界事故。</w:t>
      </w:r>
    </w:p>
    <w:p>
      <w:pPr>
        <w:pStyle w:val="165"/>
      </w:pPr>
      <w:r>
        <w:rPr>
          <w:rFonts w:hint="eastAsia"/>
        </w:rPr>
        <w:t>应配备足额、合格的核临界安全技术人员，必要时设立核临界安全技术组织，并定期开展专业培训，持续提升人员核临界安全履职能力。</w:t>
      </w:r>
    </w:p>
    <w:p>
      <w:pPr>
        <w:pStyle w:val="165"/>
      </w:pPr>
      <w:r>
        <w:rPr>
          <w:rFonts w:hint="eastAsia"/>
        </w:rPr>
        <w:t>应建立健全核事故应急预案及核临界事故专项处置程序，设置核临界事故报警系统，持续提升应急响应与事故处置能力。</w:t>
      </w:r>
    </w:p>
    <w:p>
      <w:pPr>
        <w:pStyle w:val="165"/>
      </w:pPr>
      <w:r>
        <w:rPr>
          <w:rFonts w:hint="eastAsia"/>
        </w:rPr>
        <w:t>应建立监督检查、定期评审、持续改进机制，动态完善核临界安全管理体系，持续提升核临界安全管控效能。</w:t>
      </w:r>
    </w:p>
    <w:p>
      <w:pPr>
        <w:pStyle w:val="107"/>
        <w:spacing w:before="312" w:after="312"/>
      </w:pPr>
      <w:r>
        <w:rPr>
          <w:rFonts w:hint="eastAsia"/>
        </w:rPr>
        <w:t>核临界安全责任</w:t>
      </w:r>
    </w:p>
    <w:p>
      <w:pPr>
        <w:pStyle w:val="165"/>
      </w:pPr>
      <w:r>
        <w:rPr>
          <w:rFonts w:hint="eastAsia"/>
        </w:rPr>
        <w:t>核设施营运单位对其加工、处理、操作、贮存易裂变材料的核设施的核临界安全负全面责任。对受托单位承担的易裂变材料相关作业活动，应明确核临界安全责任和要求并实施监督。</w:t>
      </w:r>
    </w:p>
    <w:p>
      <w:pPr>
        <w:pStyle w:val="165"/>
      </w:pPr>
      <w:r>
        <w:rPr>
          <w:rFonts w:hint="eastAsia"/>
        </w:rPr>
        <w:t>受托单位对受托范围内的核临界安全负直接责任，严格遵守国家核安全法规、标准及营运单位管理要求，接受营运单位统一管理与监督。</w:t>
      </w:r>
    </w:p>
    <w:p>
      <w:pPr>
        <w:pStyle w:val="165"/>
      </w:pPr>
      <w:r>
        <w:rPr>
          <w:rFonts w:hint="eastAsia"/>
        </w:rPr>
        <w:t>营运单位应建立健全与本单位核临界安全相适应的安全管理体系，包括</w:t>
      </w:r>
      <w:bookmarkStart w:id="57" w:name="OLE_LINK4"/>
      <w:bookmarkStart w:id="58" w:name="OLE_LINK5"/>
      <w:r>
        <w:rPr>
          <w:rFonts w:hint="eastAsia"/>
        </w:rPr>
        <w:t>责任体系、</w:t>
      </w:r>
      <w:bookmarkEnd w:id="57"/>
      <w:bookmarkEnd w:id="58"/>
      <w:r>
        <w:rPr>
          <w:rFonts w:hint="eastAsia"/>
        </w:rPr>
        <w:t>制度体系、应急管理体系和监督保证体系等，并确保体系持续有效运行。</w:t>
      </w:r>
    </w:p>
    <w:p>
      <w:pPr>
        <w:pStyle w:val="165"/>
      </w:pPr>
      <w:r>
        <w:rPr>
          <w:rFonts w:hint="eastAsia"/>
        </w:rPr>
        <w:t>营运单位应建立稳定有效的财务保障机制，确保核临界安全设施设备系统得到及时维护并有效运行。</w:t>
      </w:r>
    </w:p>
    <w:p>
      <w:pPr>
        <w:pStyle w:val="165"/>
      </w:pPr>
      <w:r>
        <w:rPr>
          <w:rFonts w:hint="eastAsia"/>
        </w:rPr>
        <w:t>营运单位与受托单位应确保所有涉及易裂变材料的活动均在经评价确认的核临界安全控制限值内开展，未经核临界安全评价与批准，不得改变易裂变材料形态、数量、几何、富集度、布置或工艺条件。</w:t>
      </w:r>
    </w:p>
    <w:p>
      <w:pPr>
        <w:pStyle w:val="165"/>
      </w:pPr>
      <w:r>
        <w:rPr>
          <w:rFonts w:hint="eastAsia"/>
        </w:rPr>
        <w:t>营运单位与受托单位应确保所有从事易裂变材料操作、管理、监督的人员，具备必要的核临界安全知识与岗位限值管控能力，未经核临界安全培训与授权不得上岗。</w:t>
      </w:r>
    </w:p>
    <w:p>
      <w:pPr>
        <w:pStyle w:val="165"/>
      </w:pPr>
      <w:r>
        <w:rPr>
          <w:rFonts w:hint="eastAsia"/>
        </w:rPr>
        <w:t>岗位运行操作人员应遵守操作规程和相关核临界安全管理规定，严格按照批准的书面程序和指令实施易裂变材料的操作，对本岗位的核临界安全负直接责任。</w:t>
      </w:r>
    </w:p>
    <w:p>
      <w:pPr>
        <w:pStyle w:val="107"/>
        <w:spacing w:before="312" w:after="312"/>
      </w:pPr>
      <w:r>
        <w:rPr>
          <w:rFonts w:hint="eastAsia"/>
        </w:rPr>
        <w:t>核临界安全评价</w:t>
      </w:r>
    </w:p>
    <w:p>
      <w:pPr>
        <w:pStyle w:val="165"/>
      </w:pPr>
      <w:r>
        <w:rPr>
          <w:rFonts w:hint="eastAsia"/>
        </w:rPr>
        <w:t>核设施营运单位在新建、改建、扩建涉及核临界安全的相关设施，或变更设计基准、关键工艺参数、核临界安全控制限值前，应开展核临界安全评价。</w:t>
      </w:r>
    </w:p>
    <w:p>
      <w:pPr>
        <w:pStyle w:val="165"/>
      </w:pPr>
      <w:r>
        <w:rPr>
          <w:rFonts w:hint="eastAsia"/>
        </w:rPr>
        <w:t>核临界安全评价应由核设施营运单位组织，由具备核临界安全专业能力和实践经验的技术人员承担，必要时可委托具有相应能力的专业技术机构开展。</w:t>
      </w:r>
    </w:p>
    <w:p>
      <w:pPr>
        <w:pStyle w:val="165"/>
      </w:pPr>
      <w:r>
        <w:rPr>
          <w:rFonts w:hint="eastAsia"/>
        </w:rPr>
        <w:t>核临界安全评价应覆盖正常运行工况、可信故障工况、设计基准事故工况，评价重点是明确判断和确定核临界安全所依赖的受控参数及其限值，且应理解这些参数或其使用条件的变化对核临界安全的影响。</w:t>
      </w:r>
    </w:p>
    <w:p>
      <w:pPr>
        <w:pStyle w:val="165"/>
      </w:pPr>
      <w:r>
        <w:rPr>
          <w:rFonts w:hint="eastAsia"/>
        </w:rPr>
        <w:t>评价完成后应形成有效的核临界安全技术文件，并按规定报国家核临界安全监督管理部门审查批复，获批后方可实施。</w:t>
      </w:r>
    </w:p>
    <w:p>
      <w:pPr>
        <w:pStyle w:val="107"/>
        <w:spacing w:before="312" w:after="312"/>
      </w:pPr>
      <w:r>
        <w:rPr>
          <w:rFonts w:hint="eastAsia"/>
        </w:rPr>
        <w:t>制度规程</w:t>
      </w:r>
    </w:p>
    <w:p>
      <w:pPr>
        <w:pStyle w:val="165"/>
      </w:pPr>
      <w:r>
        <w:rPr>
          <w:rFonts w:hint="eastAsia"/>
        </w:rPr>
        <w:t>营运单位应编制核临界安全管理制度（程序），明确核临界安全总体管理要求。针对易裂变材料相关操作、工艺、设备等编制对应操作规程，规程应明确操作步骤、核临界安全受控参数、核临界安全控制限值、核临界安全控制措施、禁止事项、异常处置措施等。</w:t>
      </w:r>
    </w:p>
    <w:p>
      <w:pPr>
        <w:pStyle w:val="165"/>
      </w:pPr>
      <w:r>
        <w:rPr>
          <w:rFonts w:hint="eastAsia"/>
        </w:rPr>
        <w:t>核临界安全管理制度（程序）及操作规程的编制、修订与审核，应有核临界安全技术人员参与，并由其技术审核或会签，确保技术合理性与现场可执行性。</w:t>
      </w:r>
    </w:p>
    <w:p>
      <w:pPr>
        <w:pStyle w:val="165"/>
      </w:pPr>
      <w:r>
        <w:rPr>
          <w:rFonts w:hint="eastAsia"/>
        </w:rPr>
        <w:t>涉及核临界安全作业的岗位，应设置核临界安全控制卡，明确操作核心控制参数、核临界安全控制限值、核临界安全控制措施、风险提示、禁止操作项等。核临界安全控制卡应张贴于现场醒目位置，并随工艺、设备、限值变更及时更新。</w:t>
      </w:r>
    </w:p>
    <w:p>
      <w:pPr>
        <w:pStyle w:val="107"/>
        <w:spacing w:before="312" w:after="312"/>
      </w:pPr>
      <w:r>
        <w:rPr>
          <w:rFonts w:hint="eastAsia"/>
        </w:rPr>
        <w:t>运行管理</w:t>
      </w:r>
    </w:p>
    <w:p>
      <w:pPr>
        <w:pStyle w:val="165"/>
      </w:pPr>
      <w:r>
        <w:rPr>
          <w:rFonts w:hint="eastAsia"/>
        </w:rPr>
        <w:t>操作人员在每次开工前，应开展核临界安全条件确认与作业前安全检查，确认工艺参数、设备状态、物料条件、防护措施符合运行限值和安全要求后方可开工。</w:t>
      </w:r>
    </w:p>
    <w:p>
      <w:pPr>
        <w:pStyle w:val="165"/>
      </w:pPr>
      <w:r>
        <w:rPr>
          <w:rFonts w:hint="eastAsia"/>
        </w:rPr>
        <w:t>所有涉及易裂变材料的操作，应严格按照经批准的核临界安全操作规程执行，严禁违章操作、擅自变更工艺参数或物料状态。</w:t>
      </w:r>
    </w:p>
    <w:p>
      <w:pPr>
        <w:pStyle w:val="165"/>
      </w:pPr>
      <w:r>
        <w:rPr>
          <w:rFonts w:hint="eastAsia"/>
        </w:rPr>
        <w:t>高风险关键岗位（如倒料、卸料、投料、转运、容器更换等）应实行双确认制度，确保关键操作全程受控。</w:t>
      </w:r>
    </w:p>
    <w:p>
      <w:pPr>
        <w:pStyle w:val="165"/>
      </w:pPr>
      <w:r>
        <w:rPr>
          <w:rFonts w:hint="eastAsia"/>
        </w:rPr>
        <w:t>运行过程中出现异常工况、超控制限值或可疑情况，操作人员应立即停止相关作业，按照营运单位内部管理要求进行处置。</w:t>
      </w:r>
    </w:p>
    <w:p>
      <w:pPr>
        <w:pStyle w:val="165"/>
      </w:pPr>
      <w:r>
        <w:rPr>
          <w:rFonts w:hint="eastAsia"/>
        </w:rPr>
        <w:t>易裂变材料的转移应当按照书面程序的规定予以控制。应当有专人负责易裂变材料的清点和统计，掌握易裂变材料的分布、积存和转移情况。</w:t>
      </w:r>
    </w:p>
    <w:p>
      <w:pPr>
        <w:pStyle w:val="165"/>
      </w:pPr>
      <w:r>
        <w:rPr>
          <w:rFonts w:hint="eastAsia"/>
        </w:rPr>
        <w:t>存放的易裂变材料应当有材料标签﹐存放地点应当加标牌。标签和标牌应当标明易裂变材料种类和所有受控参数的限值。应当确保所加标签、标牌正确无误。</w:t>
      </w:r>
    </w:p>
    <w:p>
      <w:pPr>
        <w:pStyle w:val="165"/>
      </w:pPr>
      <w:r>
        <w:rPr>
          <w:rFonts w:hint="eastAsia"/>
        </w:rPr>
        <w:t>营运单位应当对易裂变材料的加工，处理、操作和贮存区域实行管制。</w:t>
      </w:r>
    </w:p>
    <w:p>
      <w:pPr>
        <w:pStyle w:val="165"/>
      </w:pPr>
      <w:r>
        <w:rPr>
          <w:rFonts w:hint="eastAsia"/>
        </w:rPr>
        <w:t>营运单位应建立工程控制措施全生命周期管理机制，对容器、设备、格架、中子吸收体、核临界报警系统等关键设备开展日常巡检、定期维护、在役监测与老化管控，确保工程屏障持续有效。对处于长期闲置状态的而且内存的易裂变物质的特性可能会发生变化的设备，尤其需要注意。</w:t>
      </w:r>
    </w:p>
    <w:p>
      <w:pPr>
        <w:pStyle w:val="107"/>
        <w:spacing w:before="312" w:after="312"/>
      </w:pPr>
      <w:r>
        <w:rPr>
          <w:rFonts w:hint="eastAsia"/>
        </w:rPr>
        <w:t>监督检查</w:t>
      </w:r>
    </w:p>
    <w:p>
      <w:pPr>
        <w:pStyle w:val="165"/>
      </w:pPr>
      <w:r>
        <w:rPr>
          <w:rFonts w:hint="eastAsia"/>
        </w:rPr>
        <w:t>营运单位应定期开展核临界安全检查，并有核临界安全技术人员参与实施。</w:t>
      </w:r>
    </w:p>
    <w:p>
      <w:pPr>
        <w:pStyle w:val="165"/>
      </w:pPr>
      <w:r>
        <w:rPr>
          <w:rFonts w:hint="eastAsia"/>
        </w:rPr>
        <w:t>检查应聚焦核临界安全关键内容，包括但不限于：</w:t>
      </w:r>
    </w:p>
    <w:p>
      <w:pPr>
        <w:pStyle w:val="135"/>
      </w:pPr>
      <w:r>
        <w:rPr>
          <w:rFonts w:hint="eastAsia"/>
        </w:rPr>
        <w:t>核临界安全控制限值执行情况；</w:t>
      </w:r>
    </w:p>
    <w:p>
      <w:pPr>
        <w:pStyle w:val="135"/>
      </w:pPr>
      <w:r>
        <w:rPr>
          <w:rFonts w:hint="eastAsia"/>
        </w:rPr>
        <w:t>易裂变材料定量、定形、定距、定富集度管控；</w:t>
      </w:r>
    </w:p>
    <w:p>
      <w:pPr>
        <w:pStyle w:val="135"/>
      </w:pPr>
      <w:r>
        <w:rPr>
          <w:rFonts w:hint="eastAsia"/>
        </w:rPr>
        <w:t>中子吸收、几何限制、核临界事故报警系统有效性；</w:t>
      </w:r>
    </w:p>
    <w:p>
      <w:pPr>
        <w:pStyle w:val="135"/>
      </w:pPr>
      <w:r>
        <w:rPr>
          <w:rFonts w:hint="eastAsia"/>
        </w:rPr>
        <w:t>操作合规性、超限与未遂事件管理。</w:t>
      </w:r>
    </w:p>
    <w:p>
      <w:pPr>
        <w:pStyle w:val="165"/>
      </w:pPr>
      <w:r>
        <w:rPr>
          <w:rFonts w:hint="eastAsia"/>
        </w:rPr>
        <w:t>营运单位应配合上级单位或国家核安全监督部门开展监督检查，如实提供核临界安全分析报告、核临界安全控制限值、操作规程、事故事件报告、核临界事故报警仪维护记录等资料。</w:t>
      </w:r>
    </w:p>
    <w:p>
      <w:pPr>
        <w:pStyle w:val="107"/>
        <w:spacing w:before="312" w:after="312"/>
      </w:pPr>
      <w:r>
        <w:rPr>
          <w:rFonts w:hint="eastAsia"/>
        </w:rPr>
        <w:t>培训考核</w:t>
      </w:r>
    </w:p>
    <w:p>
      <w:pPr>
        <w:pStyle w:val="165"/>
      </w:pPr>
      <w:r>
        <w:rPr>
          <w:rFonts w:hint="eastAsia"/>
        </w:rPr>
        <w:t>单位应建立分级分类核临界安全培训体系，</w:t>
      </w:r>
      <w:bookmarkStart w:id="59" w:name="OLE_LINK18"/>
      <w:bookmarkStart w:id="60" w:name="OLE_LINK19"/>
      <w:r>
        <w:rPr>
          <w:rFonts w:hint="eastAsia"/>
        </w:rPr>
        <w:t>明确培训对象、内容、频次与考核标准</w:t>
      </w:r>
      <w:bookmarkEnd w:id="59"/>
      <w:bookmarkEnd w:id="60"/>
      <w:r>
        <w:rPr>
          <w:rFonts w:hint="eastAsia"/>
        </w:rPr>
        <w:t>，培训范围应覆盖核临界安全管理人员、技术人员、操作人员及其他相关人员。</w:t>
      </w:r>
    </w:p>
    <w:p>
      <w:pPr>
        <w:pStyle w:val="165"/>
      </w:pPr>
      <w:r>
        <w:rPr>
          <w:rFonts w:hint="eastAsia"/>
        </w:rPr>
        <w:t>培训内容应根据培训对象进行调整，包括但不限于：</w:t>
      </w:r>
    </w:p>
    <w:p>
      <w:pPr>
        <w:pStyle w:val="135"/>
      </w:pPr>
      <w:r>
        <w:rPr>
          <w:rFonts w:hint="eastAsia"/>
        </w:rPr>
        <w:t>易裂变材料核临界安全基本原理；</w:t>
      </w:r>
    </w:p>
    <w:p>
      <w:pPr>
        <w:pStyle w:val="135"/>
      </w:pPr>
      <w:r>
        <w:rPr>
          <w:rFonts w:hint="eastAsia"/>
        </w:rPr>
        <w:t>本岗位核临界安全控制限值与禁止条件；</w:t>
      </w:r>
    </w:p>
    <w:p>
      <w:pPr>
        <w:pStyle w:val="135"/>
      </w:pPr>
      <w:r>
        <w:rPr>
          <w:rFonts w:hint="eastAsia"/>
        </w:rPr>
        <w:t>核临界事故报警响应与撤离要求；</w:t>
      </w:r>
    </w:p>
    <w:p>
      <w:pPr>
        <w:pStyle w:val="135"/>
      </w:pPr>
      <w:r>
        <w:rPr>
          <w:rFonts w:hint="eastAsia"/>
        </w:rPr>
        <w:t>核临界未遂事件识别与处置；</w:t>
      </w:r>
    </w:p>
    <w:p>
      <w:pPr>
        <w:pStyle w:val="135"/>
      </w:pPr>
      <w:r>
        <w:rPr>
          <w:rFonts w:hint="eastAsia"/>
        </w:rPr>
        <w:t>典型核临界事故/偏差案例。</w:t>
      </w:r>
    </w:p>
    <w:p>
      <w:pPr>
        <w:pStyle w:val="165"/>
      </w:pPr>
      <w:r>
        <w:rPr>
          <w:rFonts w:hint="eastAsia"/>
        </w:rPr>
        <w:t>所有涉及核临界安全风险相关人员应参加培训并考核合格后方可授权上岗。</w:t>
      </w:r>
      <w:bookmarkStart w:id="61" w:name="OLE_LINK21"/>
      <w:bookmarkStart w:id="62" w:name="OLE_LINK20"/>
      <w:r>
        <w:rPr>
          <w:rFonts w:hint="eastAsia"/>
        </w:rPr>
        <w:t>转岗</w:t>
      </w:r>
      <w:bookmarkEnd w:id="61"/>
      <w:bookmarkEnd w:id="62"/>
      <w:r>
        <w:rPr>
          <w:rFonts w:hint="eastAsia"/>
        </w:rPr>
        <w:t>或离岗6个月以上返岗应重新培训考核。</w:t>
      </w:r>
    </w:p>
    <w:p>
      <w:pPr>
        <w:pStyle w:val="165"/>
      </w:pPr>
      <w:r>
        <w:rPr>
          <w:rFonts w:hint="eastAsia"/>
        </w:rPr>
        <w:t>应定期组织复训与专项演练，考核不合格暂停上岗授权。</w:t>
      </w:r>
    </w:p>
    <w:p>
      <w:pPr>
        <w:pStyle w:val="107"/>
        <w:spacing w:before="312" w:after="312"/>
      </w:pPr>
      <w:r>
        <w:rPr>
          <w:rFonts w:hint="eastAsia"/>
        </w:rPr>
        <w:t>应急准备</w:t>
      </w:r>
    </w:p>
    <w:p>
      <w:pPr>
        <w:pStyle w:val="165"/>
      </w:pPr>
      <w:r>
        <w:rPr>
          <w:rFonts w:hint="eastAsia"/>
        </w:rPr>
        <w:t>营运单位应制定核事故应急预案及核临界事故专项处置程序，明确应急组织、职责、程序、资源和保障要求。</w:t>
      </w:r>
    </w:p>
    <w:p>
      <w:pPr>
        <w:pStyle w:val="165"/>
      </w:pPr>
      <w:r>
        <w:rPr>
          <w:rFonts w:hint="eastAsia"/>
        </w:rPr>
        <w:t>应在高风险区域配置中子和/或γ核临界报警系统，确保系统灵敏可靠、响应及时、冗余配置、定期校验，形成有效的核临界事故预警机制。</w:t>
      </w:r>
    </w:p>
    <w:p>
      <w:pPr>
        <w:pStyle w:val="165"/>
      </w:pPr>
      <w:r>
        <w:rPr>
          <w:rFonts w:hint="eastAsia"/>
        </w:rPr>
        <w:t>应按处置程序配备充足、完好的应急物资、设备与防护器材，并定期检查保持其有效。</w:t>
      </w:r>
    </w:p>
    <w:p>
      <w:pPr>
        <w:pStyle w:val="165"/>
      </w:pPr>
      <w:r>
        <w:rPr>
          <w:rFonts w:hint="eastAsia"/>
        </w:rPr>
        <w:t>应定期开展核临界事故专项应急演练，重点演练报警响应、人员撤离、现场管控、信息报告。</w:t>
      </w:r>
    </w:p>
    <w:p>
      <w:pPr>
        <w:pStyle w:val="107"/>
        <w:spacing w:before="312" w:after="312"/>
      </w:pPr>
      <w:r>
        <w:rPr>
          <w:rFonts w:hint="eastAsia"/>
        </w:rPr>
        <w:t>事故事件管理</w:t>
      </w:r>
    </w:p>
    <w:p>
      <w:pPr>
        <w:pStyle w:val="165"/>
      </w:pPr>
      <w:r>
        <w:rPr>
          <w:rFonts w:hint="eastAsia"/>
        </w:rPr>
        <w:t>发生核临界事故的营运单位，应立即启动应急响应，采取控制措施，防止事态扩大，并立即按规定向主管部门及国家核安全监督管理部门报告。</w:t>
      </w:r>
    </w:p>
    <w:p>
      <w:pPr>
        <w:pStyle w:val="165"/>
      </w:pPr>
      <w:r>
        <w:rPr>
          <w:rFonts w:hint="eastAsia"/>
        </w:rPr>
        <w:t>应对核临界事故及核临界未遂事件开展专项调查，查明物料条件、操作行为、设备状态、控制措施失效原因，明确责任、吸取教训。</w:t>
      </w:r>
    </w:p>
    <w:p>
      <w:pPr>
        <w:pStyle w:val="165"/>
      </w:pPr>
      <w:r>
        <w:rPr>
          <w:rFonts w:hint="eastAsia"/>
        </w:rPr>
        <w:t>应针对事故或事件原因制定整改措施，修订限值、操作规程、工程措施，防止事故事件重复发生。</w:t>
      </w:r>
    </w:p>
    <w:p>
      <w:pPr>
        <w:pStyle w:val="165"/>
      </w:pPr>
      <w:r>
        <w:rPr>
          <w:rFonts w:hint="eastAsia"/>
        </w:rPr>
        <w:t>发生核临界事故或核临界未遂事件后恢复作业前，应重新开展核临界安全评价，编制安全分析报告，报国家主管部门和(或)核安全监督部门批准后方可恢复作业。</w:t>
      </w:r>
    </w:p>
    <w:p>
      <w:pPr>
        <w:pStyle w:val="107"/>
        <w:spacing w:before="312" w:after="312"/>
      </w:pPr>
      <w:r>
        <w:rPr>
          <w:rFonts w:hint="eastAsia"/>
        </w:rPr>
        <w:t>持续改进</w:t>
      </w:r>
    </w:p>
    <w:p>
      <w:pPr>
        <w:pStyle w:val="165"/>
      </w:pPr>
      <w:r>
        <w:rPr>
          <w:rFonts w:hint="eastAsia"/>
        </w:rPr>
        <w:t>营运单位应建立经验反馈机制，收集内部偏差、未遂事件、事故及外部良好实践，开展核临界安全管理经验反馈。必要时更新核临界安全控制限值、操作规程、工程控制措施与培训内容等。</w:t>
      </w:r>
    </w:p>
    <w:p>
      <w:pPr>
        <w:pStyle w:val="165"/>
      </w:pPr>
      <w:r>
        <w:rPr>
          <w:rFonts w:hint="eastAsia"/>
        </w:rPr>
        <w:t>单位应定期对核临界安全管理工作开展总结评价，对发现的问题及时进行改进。</w:t>
      </w:r>
    </w:p>
    <w:bookmarkEnd w:id="33"/>
    <w:p>
      <w:pPr>
        <w:pStyle w:val="201"/>
      </w:pPr>
      <w:bookmarkStart w:id="63" w:name="BookMark5"/>
    </w:p>
    <w:p>
      <w:pPr>
        <w:pStyle w:val="202"/>
      </w:pPr>
    </w:p>
    <w:p>
      <w:pPr>
        <w:pStyle w:val="202"/>
      </w:pPr>
    </w:p>
    <w:bookmarkEnd w:id="63"/>
    <w:p>
      <w:pPr>
        <w:pStyle w:val="59"/>
        <w:ind w:firstLine="0" w:firstLineChars="0"/>
        <w:jc w:val="center"/>
      </w:pPr>
      <w:bookmarkStart w:id="64"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5">
                      <a:extLst>
                        <a:ext uri="{28A0092B-C50C-407E-A947-70E740481C1C}">
                          <a14:useLocalDpi xmlns:a14="http://schemas.microsoft.com/office/drawing/2010/main" val="false"/>
                        </a:ext>
                      </a:extLst>
                    </a:blip>
                    <a:stretch>
                      <a:fillRect/>
                    </a:stretch>
                  </pic:blipFill>
                  <pic:spPr>
                    <a:xfrm>
                      <a:off x="0" y="0"/>
                      <a:ext cx="1485900" cy="317500"/>
                    </a:xfrm>
                    <a:prstGeom prst="rect">
                      <a:avLst/>
                    </a:prstGeom>
                  </pic:spPr>
                </pic:pic>
              </a:graphicData>
            </a:graphic>
          </wp:inline>
        </w:drawing>
      </w:r>
      <w:bookmarkEnd w:id="64"/>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创艺简标宋">
    <w:panose1 w:val="00000000000000000000"/>
    <w:charset w:val="80"/>
    <w:family w:val="auto"/>
    <w:pitch w:val="default"/>
    <w:sig w:usb0="A00002BF" w:usb1="084F6CF8" w:usb2="00000012" w:usb3="00000000" w:csb0="00020001"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spacing w:after="0"/>
    </w:pPr>
    <w:r>
      <w:fldChar w:fldCharType="begin"/>
    </w:r>
    <w:r>
      <w:instrText xml:space="preserve"> STYLEREF  标准文件_文件编号  \* MERGEFORMAT </w:instrText>
    </w:r>
    <w:r>
      <w:fldChar w:fldCharType="separate"/>
    </w:r>
    <w:r>
      <w:t>GB 15146.1—XXXX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GB 15146.1—XXXX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default" w:ascii="Times New Roman" w:hAnsi="Times New Roman" w:eastAsia="宋体" w:cs="Times New Roman"/>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3545"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C50"/>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53F2"/>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4B3F"/>
    <w:rsid w:val="00075356"/>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34B1"/>
    <w:rsid w:val="000F4AEA"/>
    <w:rsid w:val="000F6501"/>
    <w:rsid w:val="000F67E9"/>
    <w:rsid w:val="00100C53"/>
    <w:rsid w:val="001016A7"/>
    <w:rsid w:val="0010382B"/>
    <w:rsid w:val="00104926"/>
    <w:rsid w:val="00113B1E"/>
    <w:rsid w:val="0011711C"/>
    <w:rsid w:val="00124E4F"/>
    <w:rsid w:val="001260B7"/>
    <w:rsid w:val="001265CB"/>
    <w:rsid w:val="00127EE5"/>
    <w:rsid w:val="00131C03"/>
    <w:rsid w:val="001321C6"/>
    <w:rsid w:val="001325C4"/>
    <w:rsid w:val="00133010"/>
    <w:rsid w:val="001337A1"/>
    <w:rsid w:val="001338EE"/>
    <w:rsid w:val="00133AAE"/>
    <w:rsid w:val="00135323"/>
    <w:rsid w:val="001356C4"/>
    <w:rsid w:val="00141114"/>
    <w:rsid w:val="00142969"/>
    <w:rsid w:val="001457E7"/>
    <w:rsid w:val="00145D9D"/>
    <w:rsid w:val="00146388"/>
    <w:rsid w:val="00146DFB"/>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2D7"/>
    <w:rsid w:val="0016770A"/>
    <w:rsid w:val="00170804"/>
    <w:rsid w:val="001708E9"/>
    <w:rsid w:val="0017340B"/>
    <w:rsid w:val="00173FB1"/>
    <w:rsid w:val="00176DFD"/>
    <w:rsid w:val="001832B2"/>
    <w:rsid w:val="0018351D"/>
    <w:rsid w:val="001852C9"/>
    <w:rsid w:val="00190087"/>
    <w:rsid w:val="00191370"/>
    <w:rsid w:val="001913C4"/>
    <w:rsid w:val="0019348F"/>
    <w:rsid w:val="00193A07"/>
    <w:rsid w:val="00194C95"/>
    <w:rsid w:val="00195C34"/>
    <w:rsid w:val="00197A68"/>
    <w:rsid w:val="001A1A53"/>
    <w:rsid w:val="001A234A"/>
    <w:rsid w:val="001B06E8"/>
    <w:rsid w:val="001B718A"/>
    <w:rsid w:val="001B71D0"/>
    <w:rsid w:val="001B71EE"/>
    <w:rsid w:val="001C04A8"/>
    <w:rsid w:val="001C2C03"/>
    <w:rsid w:val="001C3DE7"/>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2109"/>
    <w:rsid w:val="002142EA"/>
    <w:rsid w:val="002204BB"/>
    <w:rsid w:val="00221B79"/>
    <w:rsid w:val="00221C6B"/>
    <w:rsid w:val="00222B57"/>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538B1"/>
    <w:rsid w:val="0026148A"/>
    <w:rsid w:val="00262696"/>
    <w:rsid w:val="002643C3"/>
    <w:rsid w:val="00264A0C"/>
    <w:rsid w:val="00267EF4"/>
    <w:rsid w:val="00270CB8"/>
    <w:rsid w:val="00272B08"/>
    <w:rsid w:val="00273BB8"/>
    <w:rsid w:val="002771B8"/>
    <w:rsid w:val="00281BB8"/>
    <w:rsid w:val="00281E9E"/>
    <w:rsid w:val="00285170"/>
    <w:rsid w:val="00285361"/>
    <w:rsid w:val="00292182"/>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181"/>
    <w:rsid w:val="002A5977"/>
    <w:rsid w:val="002A5A13"/>
    <w:rsid w:val="002A7F44"/>
    <w:rsid w:val="002B0C40"/>
    <w:rsid w:val="002B1966"/>
    <w:rsid w:val="002B4508"/>
    <w:rsid w:val="002B5779"/>
    <w:rsid w:val="002B7332"/>
    <w:rsid w:val="002B7F51"/>
    <w:rsid w:val="002C09E7"/>
    <w:rsid w:val="002C0A91"/>
    <w:rsid w:val="002C1B28"/>
    <w:rsid w:val="002C3F07"/>
    <w:rsid w:val="002C5278"/>
    <w:rsid w:val="002C7EBB"/>
    <w:rsid w:val="002D06C1"/>
    <w:rsid w:val="002D0DC8"/>
    <w:rsid w:val="002D28D0"/>
    <w:rsid w:val="002D42B5"/>
    <w:rsid w:val="002D4F1A"/>
    <w:rsid w:val="002D6EC6"/>
    <w:rsid w:val="002D79AC"/>
    <w:rsid w:val="002E039D"/>
    <w:rsid w:val="002E4D5A"/>
    <w:rsid w:val="002E6326"/>
    <w:rsid w:val="002E6DF2"/>
    <w:rsid w:val="002F30E0"/>
    <w:rsid w:val="002F35E4"/>
    <w:rsid w:val="002F3730"/>
    <w:rsid w:val="002F38E1"/>
    <w:rsid w:val="002F7AF6"/>
    <w:rsid w:val="00300E63"/>
    <w:rsid w:val="00302F5F"/>
    <w:rsid w:val="0030441D"/>
    <w:rsid w:val="00306063"/>
    <w:rsid w:val="0030796B"/>
    <w:rsid w:val="00313B85"/>
    <w:rsid w:val="00314BDF"/>
    <w:rsid w:val="00317988"/>
    <w:rsid w:val="003221B4"/>
    <w:rsid w:val="00322E62"/>
    <w:rsid w:val="00324EDD"/>
    <w:rsid w:val="00336C64"/>
    <w:rsid w:val="00337162"/>
    <w:rsid w:val="00340333"/>
    <w:rsid w:val="0034194F"/>
    <w:rsid w:val="00344605"/>
    <w:rsid w:val="003474AA"/>
    <w:rsid w:val="00350D1D"/>
    <w:rsid w:val="00352C83"/>
    <w:rsid w:val="003567F6"/>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3705"/>
    <w:rsid w:val="00384FFC"/>
    <w:rsid w:val="00386FF1"/>
    <w:rsid w:val="003872FC"/>
    <w:rsid w:val="00387ADC"/>
    <w:rsid w:val="00390020"/>
    <w:rsid w:val="003903D6"/>
    <w:rsid w:val="003906E5"/>
    <w:rsid w:val="00390EE6"/>
    <w:rsid w:val="0039118F"/>
    <w:rsid w:val="00392AD7"/>
    <w:rsid w:val="00392C1E"/>
    <w:rsid w:val="00393561"/>
    <w:rsid w:val="003938D9"/>
    <w:rsid w:val="00394376"/>
    <w:rsid w:val="003943FF"/>
    <w:rsid w:val="003974EB"/>
    <w:rsid w:val="00397CC5"/>
    <w:rsid w:val="003A1582"/>
    <w:rsid w:val="003A1F97"/>
    <w:rsid w:val="003A4077"/>
    <w:rsid w:val="003A56AD"/>
    <w:rsid w:val="003B09AD"/>
    <w:rsid w:val="003B1F18"/>
    <w:rsid w:val="003B5BF0"/>
    <w:rsid w:val="003B60BF"/>
    <w:rsid w:val="003B6BE3"/>
    <w:rsid w:val="003C010C"/>
    <w:rsid w:val="003C0A6C"/>
    <w:rsid w:val="003C5A43"/>
    <w:rsid w:val="003C75F1"/>
    <w:rsid w:val="003D0519"/>
    <w:rsid w:val="003D0FF6"/>
    <w:rsid w:val="003D262C"/>
    <w:rsid w:val="003D6D61"/>
    <w:rsid w:val="003E091D"/>
    <w:rsid w:val="003E1C53"/>
    <w:rsid w:val="003E2A69"/>
    <w:rsid w:val="003E2D49"/>
    <w:rsid w:val="003E2E09"/>
    <w:rsid w:val="003E2FD4"/>
    <w:rsid w:val="003E4552"/>
    <w:rsid w:val="003E49F6"/>
    <w:rsid w:val="003E5B84"/>
    <w:rsid w:val="003F0841"/>
    <w:rsid w:val="003F23D3"/>
    <w:rsid w:val="003F3F08"/>
    <w:rsid w:val="003F49F1"/>
    <w:rsid w:val="003F6272"/>
    <w:rsid w:val="003F6B07"/>
    <w:rsid w:val="00400E72"/>
    <w:rsid w:val="00401400"/>
    <w:rsid w:val="00404869"/>
    <w:rsid w:val="00405884"/>
    <w:rsid w:val="00407D39"/>
    <w:rsid w:val="0041477A"/>
    <w:rsid w:val="004167A3"/>
    <w:rsid w:val="00417620"/>
    <w:rsid w:val="004221EE"/>
    <w:rsid w:val="00432DAA"/>
    <w:rsid w:val="00434305"/>
    <w:rsid w:val="004347D3"/>
    <w:rsid w:val="00435DF7"/>
    <w:rsid w:val="0044083F"/>
    <w:rsid w:val="00441AE7"/>
    <w:rsid w:val="00445574"/>
    <w:rsid w:val="004467FB"/>
    <w:rsid w:val="00452D6B"/>
    <w:rsid w:val="004533DD"/>
    <w:rsid w:val="00454484"/>
    <w:rsid w:val="0045517B"/>
    <w:rsid w:val="00460DB1"/>
    <w:rsid w:val="00463B77"/>
    <w:rsid w:val="00463C7B"/>
    <w:rsid w:val="004644A6"/>
    <w:rsid w:val="004659BD"/>
    <w:rsid w:val="00470579"/>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398"/>
    <w:rsid w:val="004C3F1D"/>
    <w:rsid w:val="004C458D"/>
    <w:rsid w:val="004C7556"/>
    <w:rsid w:val="004C7E9D"/>
    <w:rsid w:val="004C7F67"/>
    <w:rsid w:val="004D076D"/>
    <w:rsid w:val="004D0EF1"/>
    <w:rsid w:val="004D2253"/>
    <w:rsid w:val="004D4406"/>
    <w:rsid w:val="004D4988"/>
    <w:rsid w:val="004D4C37"/>
    <w:rsid w:val="004D7C42"/>
    <w:rsid w:val="004E0465"/>
    <w:rsid w:val="004E0746"/>
    <w:rsid w:val="004E127B"/>
    <w:rsid w:val="004E1C0A"/>
    <w:rsid w:val="004E30C5"/>
    <w:rsid w:val="004E4AA5"/>
    <w:rsid w:val="004E4AEE"/>
    <w:rsid w:val="004E4BF9"/>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07888"/>
    <w:rsid w:val="00510A7B"/>
    <w:rsid w:val="00512F6E"/>
    <w:rsid w:val="00513038"/>
    <w:rsid w:val="00514174"/>
    <w:rsid w:val="00514DF9"/>
    <w:rsid w:val="00516088"/>
    <w:rsid w:val="00516B0B"/>
    <w:rsid w:val="005220EC"/>
    <w:rsid w:val="00523461"/>
    <w:rsid w:val="00523F95"/>
    <w:rsid w:val="00524D65"/>
    <w:rsid w:val="00525B16"/>
    <w:rsid w:val="005304AA"/>
    <w:rsid w:val="00533D04"/>
    <w:rsid w:val="00534804"/>
    <w:rsid w:val="00534BDF"/>
    <w:rsid w:val="005354EA"/>
    <w:rsid w:val="00535EC4"/>
    <w:rsid w:val="00535ED9"/>
    <w:rsid w:val="0053692B"/>
    <w:rsid w:val="00541853"/>
    <w:rsid w:val="00543AFD"/>
    <w:rsid w:val="00543BDA"/>
    <w:rsid w:val="005441CC"/>
    <w:rsid w:val="005479DA"/>
    <w:rsid w:val="00547BCC"/>
    <w:rsid w:val="0055013B"/>
    <w:rsid w:val="00551F6F"/>
    <w:rsid w:val="0055465C"/>
    <w:rsid w:val="00555044"/>
    <w:rsid w:val="00561475"/>
    <w:rsid w:val="0056487B"/>
    <w:rsid w:val="00564FB9"/>
    <w:rsid w:val="00573D9E"/>
    <w:rsid w:val="00576CA1"/>
    <w:rsid w:val="005801E3"/>
    <w:rsid w:val="00581802"/>
    <w:rsid w:val="005836A8"/>
    <w:rsid w:val="00584262"/>
    <w:rsid w:val="0058579B"/>
    <w:rsid w:val="00586630"/>
    <w:rsid w:val="00586CB2"/>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5AD8"/>
    <w:rsid w:val="005D6A95"/>
    <w:rsid w:val="005D6B2C"/>
    <w:rsid w:val="005D6D9C"/>
    <w:rsid w:val="005E1F15"/>
    <w:rsid w:val="005E2335"/>
    <w:rsid w:val="005E34CA"/>
    <w:rsid w:val="005E3C18"/>
    <w:rsid w:val="005E3E74"/>
    <w:rsid w:val="005E7881"/>
    <w:rsid w:val="005E78E0"/>
    <w:rsid w:val="005F0D9C"/>
    <w:rsid w:val="005F1D53"/>
    <w:rsid w:val="005F284E"/>
    <w:rsid w:val="00600298"/>
    <w:rsid w:val="006002B2"/>
    <w:rsid w:val="006015CE"/>
    <w:rsid w:val="0060305C"/>
    <w:rsid w:val="00604784"/>
    <w:rsid w:val="00606419"/>
    <w:rsid w:val="00607D29"/>
    <w:rsid w:val="00612952"/>
    <w:rsid w:val="00614CC1"/>
    <w:rsid w:val="00615A9D"/>
    <w:rsid w:val="006162BE"/>
    <w:rsid w:val="00616BBB"/>
    <w:rsid w:val="00617387"/>
    <w:rsid w:val="0062120B"/>
    <w:rsid w:val="006252D8"/>
    <w:rsid w:val="006259BC"/>
    <w:rsid w:val="0062636B"/>
    <w:rsid w:val="00626922"/>
    <w:rsid w:val="00632182"/>
    <w:rsid w:val="00632AE0"/>
    <w:rsid w:val="00633C17"/>
    <w:rsid w:val="00634243"/>
    <w:rsid w:val="00636E3E"/>
    <w:rsid w:val="006379F7"/>
    <w:rsid w:val="00637E4D"/>
    <w:rsid w:val="00640620"/>
    <w:rsid w:val="00641A1F"/>
    <w:rsid w:val="00644C94"/>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8D5"/>
    <w:rsid w:val="006819B8"/>
    <w:rsid w:val="006840A6"/>
    <w:rsid w:val="006850CD"/>
    <w:rsid w:val="00685AAB"/>
    <w:rsid w:val="006A07AA"/>
    <w:rsid w:val="006A25E5"/>
    <w:rsid w:val="006A2B46"/>
    <w:rsid w:val="006A336D"/>
    <w:rsid w:val="006A37B9"/>
    <w:rsid w:val="006B2672"/>
    <w:rsid w:val="006B3194"/>
    <w:rsid w:val="006B54BF"/>
    <w:rsid w:val="006B5F44"/>
    <w:rsid w:val="006B5F90"/>
    <w:rsid w:val="006B62E4"/>
    <w:rsid w:val="006C1BBA"/>
    <w:rsid w:val="006C2079"/>
    <w:rsid w:val="006C5A62"/>
    <w:rsid w:val="006C5D68"/>
    <w:rsid w:val="006C6976"/>
    <w:rsid w:val="006C6DD0"/>
    <w:rsid w:val="006D006B"/>
    <w:rsid w:val="006D04EA"/>
    <w:rsid w:val="006D16C4"/>
    <w:rsid w:val="006D3E96"/>
    <w:rsid w:val="006D4515"/>
    <w:rsid w:val="006D4BB1"/>
    <w:rsid w:val="006D6593"/>
    <w:rsid w:val="006E5DEE"/>
    <w:rsid w:val="006F03A8"/>
    <w:rsid w:val="006F0C50"/>
    <w:rsid w:val="006F0ED7"/>
    <w:rsid w:val="006F2ACA"/>
    <w:rsid w:val="006F2ADC"/>
    <w:rsid w:val="006F2BFE"/>
    <w:rsid w:val="006F31E9"/>
    <w:rsid w:val="006F6284"/>
    <w:rsid w:val="007002C5"/>
    <w:rsid w:val="00704387"/>
    <w:rsid w:val="00707669"/>
    <w:rsid w:val="00711CBA"/>
    <w:rsid w:val="00711FB5"/>
    <w:rsid w:val="00712A01"/>
    <w:rsid w:val="00713265"/>
    <w:rsid w:val="00714F58"/>
    <w:rsid w:val="00720021"/>
    <w:rsid w:val="00722FBF"/>
    <w:rsid w:val="00722FC2"/>
    <w:rsid w:val="007254DC"/>
    <w:rsid w:val="00725949"/>
    <w:rsid w:val="00727FA2"/>
    <w:rsid w:val="007322D9"/>
    <w:rsid w:val="00732BC0"/>
    <w:rsid w:val="0073720F"/>
    <w:rsid w:val="00737796"/>
    <w:rsid w:val="0074165C"/>
    <w:rsid w:val="007432CA"/>
    <w:rsid w:val="007439EB"/>
    <w:rsid w:val="00743CB4"/>
    <w:rsid w:val="00743F0A"/>
    <w:rsid w:val="007444E8"/>
    <w:rsid w:val="00744CBA"/>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59E8"/>
    <w:rsid w:val="00795E9C"/>
    <w:rsid w:val="007A0233"/>
    <w:rsid w:val="007A0521"/>
    <w:rsid w:val="007A061E"/>
    <w:rsid w:val="007A2E12"/>
    <w:rsid w:val="007A3475"/>
    <w:rsid w:val="007A41C8"/>
    <w:rsid w:val="007A54CE"/>
    <w:rsid w:val="007A6118"/>
    <w:rsid w:val="007A7FFA"/>
    <w:rsid w:val="007B04EB"/>
    <w:rsid w:val="007B0D4F"/>
    <w:rsid w:val="007B5A3D"/>
    <w:rsid w:val="007B5B95"/>
    <w:rsid w:val="007B68EA"/>
    <w:rsid w:val="007C19E8"/>
    <w:rsid w:val="007C2D89"/>
    <w:rsid w:val="007C4593"/>
    <w:rsid w:val="007C5309"/>
    <w:rsid w:val="007C6069"/>
    <w:rsid w:val="007C73CB"/>
    <w:rsid w:val="007D06C4"/>
    <w:rsid w:val="007D1352"/>
    <w:rsid w:val="007D2508"/>
    <w:rsid w:val="007D346A"/>
    <w:rsid w:val="007D6518"/>
    <w:rsid w:val="007D76BD"/>
    <w:rsid w:val="007E0BF1"/>
    <w:rsid w:val="007F0ED8"/>
    <w:rsid w:val="007F0F63"/>
    <w:rsid w:val="007F3106"/>
    <w:rsid w:val="007F334D"/>
    <w:rsid w:val="007F75CE"/>
    <w:rsid w:val="008013A4"/>
    <w:rsid w:val="008027CE"/>
    <w:rsid w:val="00802F42"/>
    <w:rsid w:val="00804383"/>
    <w:rsid w:val="00804BB7"/>
    <w:rsid w:val="00810257"/>
    <w:rsid w:val="008104F5"/>
    <w:rsid w:val="00811072"/>
    <w:rsid w:val="00811369"/>
    <w:rsid w:val="00814E50"/>
    <w:rsid w:val="00815419"/>
    <w:rsid w:val="00815761"/>
    <w:rsid w:val="00815E27"/>
    <w:rsid w:val="008163C8"/>
    <w:rsid w:val="00817325"/>
    <w:rsid w:val="008209E6"/>
    <w:rsid w:val="00823303"/>
    <w:rsid w:val="008233B2"/>
    <w:rsid w:val="00823A9F"/>
    <w:rsid w:val="00823C85"/>
    <w:rsid w:val="00825138"/>
    <w:rsid w:val="008269DD"/>
    <w:rsid w:val="00830621"/>
    <w:rsid w:val="0083348C"/>
    <w:rsid w:val="00834958"/>
    <w:rsid w:val="008373D3"/>
    <w:rsid w:val="00840617"/>
    <w:rsid w:val="00842A47"/>
    <w:rsid w:val="00843C13"/>
    <w:rsid w:val="008454F8"/>
    <w:rsid w:val="00851342"/>
    <w:rsid w:val="0085173A"/>
    <w:rsid w:val="00854F53"/>
    <w:rsid w:val="008603CE"/>
    <w:rsid w:val="008620FC"/>
    <w:rsid w:val="008627A5"/>
    <w:rsid w:val="00863E05"/>
    <w:rsid w:val="00865ACA"/>
    <w:rsid w:val="00865D28"/>
    <w:rsid w:val="00865F85"/>
    <w:rsid w:val="00867C10"/>
    <w:rsid w:val="00870439"/>
    <w:rsid w:val="00870DA1"/>
    <w:rsid w:val="00874452"/>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3E89"/>
    <w:rsid w:val="008A4D1B"/>
    <w:rsid w:val="008A769A"/>
    <w:rsid w:val="008B0C9C"/>
    <w:rsid w:val="008B166D"/>
    <w:rsid w:val="008B17F4"/>
    <w:rsid w:val="008B3615"/>
    <w:rsid w:val="008B4AC4"/>
    <w:rsid w:val="008B50C8"/>
    <w:rsid w:val="008B5281"/>
    <w:rsid w:val="008B6542"/>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1877"/>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36068"/>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170E"/>
    <w:rsid w:val="00982D22"/>
    <w:rsid w:val="0098364B"/>
    <w:rsid w:val="00983BF9"/>
    <w:rsid w:val="009911AF"/>
    <w:rsid w:val="00991875"/>
    <w:rsid w:val="00991F92"/>
    <w:rsid w:val="00992985"/>
    <w:rsid w:val="00993889"/>
    <w:rsid w:val="0099551B"/>
    <w:rsid w:val="0099560B"/>
    <w:rsid w:val="00997BF1"/>
    <w:rsid w:val="009A089C"/>
    <w:rsid w:val="009A118E"/>
    <w:rsid w:val="009A21CD"/>
    <w:rsid w:val="009A278C"/>
    <w:rsid w:val="009A2BC2"/>
    <w:rsid w:val="009A3EEC"/>
    <w:rsid w:val="009A42C1"/>
    <w:rsid w:val="009A5429"/>
    <w:rsid w:val="009A72AD"/>
    <w:rsid w:val="009A7D53"/>
    <w:rsid w:val="009B09E0"/>
    <w:rsid w:val="009B0BC5"/>
    <w:rsid w:val="009B1247"/>
    <w:rsid w:val="009B6029"/>
    <w:rsid w:val="009B6971"/>
    <w:rsid w:val="009C27F1"/>
    <w:rsid w:val="009C3048"/>
    <w:rsid w:val="009C3152"/>
    <w:rsid w:val="009C4CFA"/>
    <w:rsid w:val="009C5070"/>
    <w:rsid w:val="009C65FF"/>
    <w:rsid w:val="009D112C"/>
    <w:rsid w:val="009D47FA"/>
    <w:rsid w:val="009D50D2"/>
    <w:rsid w:val="009D6BCA"/>
    <w:rsid w:val="009E0F62"/>
    <w:rsid w:val="009E4A58"/>
    <w:rsid w:val="009E5A2D"/>
    <w:rsid w:val="009E5AB2"/>
    <w:rsid w:val="009E6219"/>
    <w:rsid w:val="009E73DB"/>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1F90"/>
    <w:rsid w:val="00A723F8"/>
    <w:rsid w:val="00A769FA"/>
    <w:rsid w:val="00A77CCB"/>
    <w:rsid w:val="00A83D8D"/>
    <w:rsid w:val="00A8446B"/>
    <w:rsid w:val="00A8473F"/>
    <w:rsid w:val="00A862D6"/>
    <w:rsid w:val="00A8715E"/>
    <w:rsid w:val="00A9295B"/>
    <w:rsid w:val="00A93B09"/>
    <w:rsid w:val="00A952D7"/>
    <w:rsid w:val="00A95595"/>
    <w:rsid w:val="00A9591A"/>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2B4E"/>
    <w:rsid w:val="00AF47C5"/>
    <w:rsid w:val="00AF5398"/>
    <w:rsid w:val="00B049AF"/>
    <w:rsid w:val="00B07242"/>
    <w:rsid w:val="00B1013C"/>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1DB1"/>
    <w:rsid w:val="00B72880"/>
    <w:rsid w:val="00B758BF"/>
    <w:rsid w:val="00B827A6"/>
    <w:rsid w:val="00B831CE"/>
    <w:rsid w:val="00B86677"/>
    <w:rsid w:val="00B87131"/>
    <w:rsid w:val="00B9127B"/>
    <w:rsid w:val="00B91566"/>
    <w:rsid w:val="00B9320C"/>
    <w:rsid w:val="00B939B1"/>
    <w:rsid w:val="00B96D40"/>
    <w:rsid w:val="00B97386"/>
    <w:rsid w:val="00BA2477"/>
    <w:rsid w:val="00BA263B"/>
    <w:rsid w:val="00BA42B2"/>
    <w:rsid w:val="00BA58D4"/>
    <w:rsid w:val="00BA5B9E"/>
    <w:rsid w:val="00BA7C9A"/>
    <w:rsid w:val="00BB2F4D"/>
    <w:rsid w:val="00BB5F8F"/>
    <w:rsid w:val="00BB657A"/>
    <w:rsid w:val="00BC1A4E"/>
    <w:rsid w:val="00BC5DC7"/>
    <w:rsid w:val="00BC6B8B"/>
    <w:rsid w:val="00BC73D8"/>
    <w:rsid w:val="00BD52D7"/>
    <w:rsid w:val="00BD5AD2"/>
    <w:rsid w:val="00BD6082"/>
    <w:rsid w:val="00BE1680"/>
    <w:rsid w:val="00BE22F3"/>
    <w:rsid w:val="00BE49EE"/>
    <w:rsid w:val="00BE5B52"/>
    <w:rsid w:val="00BE7B8D"/>
    <w:rsid w:val="00BF0993"/>
    <w:rsid w:val="00BF10A9"/>
    <w:rsid w:val="00BF1703"/>
    <w:rsid w:val="00BF231C"/>
    <w:rsid w:val="00BF51E5"/>
    <w:rsid w:val="00BF74A6"/>
    <w:rsid w:val="00C00456"/>
    <w:rsid w:val="00C013AD"/>
    <w:rsid w:val="00C04904"/>
    <w:rsid w:val="00C04BAD"/>
    <w:rsid w:val="00C056B3"/>
    <w:rsid w:val="00C103E5"/>
    <w:rsid w:val="00C13319"/>
    <w:rsid w:val="00C13EE9"/>
    <w:rsid w:val="00C14D87"/>
    <w:rsid w:val="00C21540"/>
    <w:rsid w:val="00C21906"/>
    <w:rsid w:val="00C21BFA"/>
    <w:rsid w:val="00C24C8D"/>
    <w:rsid w:val="00C25FE2"/>
    <w:rsid w:val="00C26B53"/>
    <w:rsid w:val="00C26BC7"/>
    <w:rsid w:val="00C279B2"/>
    <w:rsid w:val="00C33E50"/>
    <w:rsid w:val="00C34C20"/>
    <w:rsid w:val="00C35A3E"/>
    <w:rsid w:val="00C41D1B"/>
    <w:rsid w:val="00C42130"/>
    <w:rsid w:val="00C423A4"/>
    <w:rsid w:val="00C44BF5"/>
    <w:rsid w:val="00C46410"/>
    <w:rsid w:val="00C55232"/>
    <w:rsid w:val="00C553A4"/>
    <w:rsid w:val="00C55A06"/>
    <w:rsid w:val="00C55D03"/>
    <w:rsid w:val="00C601BC"/>
    <w:rsid w:val="00C6329F"/>
    <w:rsid w:val="00C63340"/>
    <w:rsid w:val="00C643F9"/>
    <w:rsid w:val="00C64E95"/>
    <w:rsid w:val="00C655FD"/>
    <w:rsid w:val="00C675D9"/>
    <w:rsid w:val="00C71372"/>
    <w:rsid w:val="00C72410"/>
    <w:rsid w:val="00C7287F"/>
    <w:rsid w:val="00C72F0E"/>
    <w:rsid w:val="00C76EB2"/>
    <w:rsid w:val="00C80CB8"/>
    <w:rsid w:val="00C819F8"/>
    <w:rsid w:val="00C8248C"/>
    <w:rsid w:val="00C84E33"/>
    <w:rsid w:val="00C86D6F"/>
    <w:rsid w:val="00C90389"/>
    <w:rsid w:val="00C905FC"/>
    <w:rsid w:val="00C92D03"/>
    <w:rsid w:val="00C9319C"/>
    <w:rsid w:val="00C936BE"/>
    <w:rsid w:val="00C9435D"/>
    <w:rsid w:val="00C94574"/>
    <w:rsid w:val="00C9517F"/>
    <w:rsid w:val="00C9623E"/>
    <w:rsid w:val="00C96741"/>
    <w:rsid w:val="00C97D50"/>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159E"/>
    <w:rsid w:val="00CD2808"/>
    <w:rsid w:val="00CD28BF"/>
    <w:rsid w:val="00CD4092"/>
    <w:rsid w:val="00CD4A20"/>
    <w:rsid w:val="00CD50A1"/>
    <w:rsid w:val="00CD519E"/>
    <w:rsid w:val="00CE0C4F"/>
    <w:rsid w:val="00CE30EA"/>
    <w:rsid w:val="00CE58F8"/>
    <w:rsid w:val="00CF0139"/>
    <w:rsid w:val="00CF048A"/>
    <w:rsid w:val="00CF155A"/>
    <w:rsid w:val="00CF2947"/>
    <w:rsid w:val="00CF44B1"/>
    <w:rsid w:val="00CF686F"/>
    <w:rsid w:val="00CF6E60"/>
    <w:rsid w:val="00CF7BCA"/>
    <w:rsid w:val="00D008FD"/>
    <w:rsid w:val="00D02575"/>
    <w:rsid w:val="00D0321C"/>
    <w:rsid w:val="00D035EC"/>
    <w:rsid w:val="00D06AB1"/>
    <w:rsid w:val="00D072ED"/>
    <w:rsid w:val="00D07A16"/>
    <w:rsid w:val="00D1067E"/>
    <w:rsid w:val="00D10F50"/>
    <w:rsid w:val="00D11272"/>
    <w:rsid w:val="00D126F5"/>
    <w:rsid w:val="00D1489E"/>
    <w:rsid w:val="00D15341"/>
    <w:rsid w:val="00D20737"/>
    <w:rsid w:val="00D21E81"/>
    <w:rsid w:val="00D223DE"/>
    <w:rsid w:val="00D25E37"/>
    <w:rsid w:val="00D2661A"/>
    <w:rsid w:val="00D27582"/>
    <w:rsid w:val="00D32719"/>
    <w:rsid w:val="00D33333"/>
    <w:rsid w:val="00D3421A"/>
    <w:rsid w:val="00D352A2"/>
    <w:rsid w:val="00D37782"/>
    <w:rsid w:val="00D40A83"/>
    <w:rsid w:val="00D4162B"/>
    <w:rsid w:val="00D4514F"/>
    <w:rsid w:val="00D451E2"/>
    <w:rsid w:val="00D4545E"/>
    <w:rsid w:val="00D45E89"/>
    <w:rsid w:val="00D45E8D"/>
    <w:rsid w:val="00D466AE"/>
    <w:rsid w:val="00D4734F"/>
    <w:rsid w:val="00D51BF3"/>
    <w:rsid w:val="00D62FD3"/>
    <w:rsid w:val="00D63276"/>
    <w:rsid w:val="00D65A0B"/>
    <w:rsid w:val="00D65A8B"/>
    <w:rsid w:val="00D66846"/>
    <w:rsid w:val="00D675FB"/>
    <w:rsid w:val="00D710DE"/>
    <w:rsid w:val="00D71F25"/>
    <w:rsid w:val="00D77031"/>
    <w:rsid w:val="00D813CA"/>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B6D97"/>
    <w:rsid w:val="00DC0321"/>
    <w:rsid w:val="00DC0823"/>
    <w:rsid w:val="00DC2C85"/>
    <w:rsid w:val="00DC3067"/>
    <w:rsid w:val="00DC370B"/>
    <w:rsid w:val="00DC4871"/>
    <w:rsid w:val="00DC5452"/>
    <w:rsid w:val="00DC5B90"/>
    <w:rsid w:val="00DC5EBF"/>
    <w:rsid w:val="00DC7CDB"/>
    <w:rsid w:val="00DD00F2"/>
    <w:rsid w:val="00DD00FF"/>
    <w:rsid w:val="00DD0619"/>
    <w:rsid w:val="00DD07FB"/>
    <w:rsid w:val="00DD25C6"/>
    <w:rsid w:val="00DD54B0"/>
    <w:rsid w:val="00DD57EE"/>
    <w:rsid w:val="00DD6BCC"/>
    <w:rsid w:val="00DE0A4B"/>
    <w:rsid w:val="00DE1C7A"/>
    <w:rsid w:val="00DE2410"/>
    <w:rsid w:val="00DE2939"/>
    <w:rsid w:val="00DE50C9"/>
    <w:rsid w:val="00DE51F0"/>
    <w:rsid w:val="00DE67CE"/>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1A68"/>
    <w:rsid w:val="00E43C00"/>
    <w:rsid w:val="00E44A83"/>
    <w:rsid w:val="00E470C8"/>
    <w:rsid w:val="00E502C1"/>
    <w:rsid w:val="00E502DD"/>
    <w:rsid w:val="00E50D3A"/>
    <w:rsid w:val="00E51387"/>
    <w:rsid w:val="00E51788"/>
    <w:rsid w:val="00E51E68"/>
    <w:rsid w:val="00E52EFD"/>
    <w:rsid w:val="00E5408A"/>
    <w:rsid w:val="00E56800"/>
    <w:rsid w:val="00E60CD7"/>
    <w:rsid w:val="00E62FF9"/>
    <w:rsid w:val="00E635D6"/>
    <w:rsid w:val="00E639BC"/>
    <w:rsid w:val="00E664CC"/>
    <w:rsid w:val="00E67D9A"/>
    <w:rsid w:val="00E70388"/>
    <w:rsid w:val="00E70F92"/>
    <w:rsid w:val="00E74C54"/>
    <w:rsid w:val="00E77A03"/>
    <w:rsid w:val="00E80CEC"/>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79A"/>
    <w:rsid w:val="00E969D5"/>
    <w:rsid w:val="00E96DF4"/>
    <w:rsid w:val="00EA1679"/>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31D7"/>
    <w:rsid w:val="00F1409D"/>
    <w:rsid w:val="00F14214"/>
    <w:rsid w:val="00F146BD"/>
    <w:rsid w:val="00F157A9"/>
    <w:rsid w:val="00F16AE8"/>
    <w:rsid w:val="00F25BB6"/>
    <w:rsid w:val="00F25CDB"/>
    <w:rsid w:val="00F26B7E"/>
    <w:rsid w:val="00F27A3B"/>
    <w:rsid w:val="00F33817"/>
    <w:rsid w:val="00F34352"/>
    <w:rsid w:val="00F41038"/>
    <w:rsid w:val="00F420D5"/>
    <w:rsid w:val="00F451EA"/>
    <w:rsid w:val="00F45447"/>
    <w:rsid w:val="00F456C6"/>
    <w:rsid w:val="00F4577B"/>
    <w:rsid w:val="00F46496"/>
    <w:rsid w:val="00F474D0"/>
    <w:rsid w:val="00F47670"/>
    <w:rsid w:val="00F50179"/>
    <w:rsid w:val="00F56511"/>
    <w:rsid w:val="00F6194E"/>
    <w:rsid w:val="00F623AC"/>
    <w:rsid w:val="00F624C1"/>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97CF7"/>
    <w:rsid w:val="00FA662D"/>
    <w:rsid w:val="00FA73B1"/>
    <w:rsid w:val="00FB0CB9"/>
    <w:rsid w:val="00FB45F1"/>
    <w:rsid w:val="00FB4A72"/>
    <w:rsid w:val="00FB54E8"/>
    <w:rsid w:val="00FB7054"/>
    <w:rsid w:val="00FB74CF"/>
    <w:rsid w:val="00FC17B7"/>
    <w:rsid w:val="00FC28FD"/>
    <w:rsid w:val="00FC2CB7"/>
    <w:rsid w:val="00FC4090"/>
    <w:rsid w:val="00FC55B4"/>
    <w:rsid w:val="00FD00E6"/>
    <w:rsid w:val="00FD09A1"/>
    <w:rsid w:val="00FD2A7C"/>
    <w:rsid w:val="00FD59EB"/>
    <w:rsid w:val="00FD7299"/>
    <w:rsid w:val="00FE1894"/>
    <w:rsid w:val="00FE1FBE"/>
    <w:rsid w:val="00FE3901"/>
    <w:rsid w:val="00FE4BCE"/>
    <w:rsid w:val="00FE54AE"/>
    <w:rsid w:val="00FE576A"/>
    <w:rsid w:val="00FE61CF"/>
    <w:rsid w:val="00FE7E79"/>
    <w:rsid w:val="00FF3E7D"/>
    <w:rsid w:val="00FF5B99"/>
    <w:rsid w:val="00FF730C"/>
    <w:rsid w:val="00FF73F4"/>
    <w:rsid w:val="00FF7CE4"/>
    <w:rsid w:val="00FF7E39"/>
    <w:rsid w:val="0598143C"/>
    <w:rsid w:val="1CD570F7"/>
    <w:rsid w:val="2B4324C3"/>
    <w:rsid w:val="2F636A44"/>
    <w:rsid w:val="31917030"/>
    <w:rsid w:val="32952194"/>
    <w:rsid w:val="35AE1969"/>
    <w:rsid w:val="3A1146DE"/>
    <w:rsid w:val="3D883AF1"/>
    <w:rsid w:val="3FE45BCB"/>
    <w:rsid w:val="485A1120"/>
    <w:rsid w:val="48CC7C12"/>
    <w:rsid w:val="54023739"/>
    <w:rsid w:val="59286D7D"/>
    <w:rsid w:val="648061F5"/>
    <w:rsid w:val="66FF5378"/>
    <w:rsid w:val="6C343A69"/>
    <w:rsid w:val="73DB0BEF"/>
    <w:rsid w:val="76564440"/>
    <w:rsid w:val="CF9EC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3"/>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34"/>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rFonts w:ascii="Times New Roman" w:hAnsi="Times New Roman" w:eastAsia="宋体" w:cs="Times New Roman"/>
      <w:b/>
      <w:bCs/>
      <w:kern w:val="44"/>
      <w:sz w:val="44"/>
      <w:szCs w:val="44"/>
    </w:rPr>
  </w:style>
  <w:style w:type="character" w:customStyle="1" w:styleId="38">
    <w:name w:val="标题 2 字符"/>
    <w:link w:val="3"/>
    <w:qFormat/>
    <w:uiPriority w:val="0"/>
    <w:rPr>
      <w:rFonts w:ascii="Arial" w:hAnsi="Arial" w:eastAsia="黑体" w:cs="Times New Roman"/>
      <w:b/>
      <w:bCs/>
      <w:sz w:val="32"/>
      <w:szCs w:val="32"/>
    </w:rPr>
  </w:style>
  <w:style w:type="character" w:customStyle="1" w:styleId="39">
    <w:name w:val="标题 3 字符"/>
    <w:link w:val="4"/>
    <w:qFormat/>
    <w:uiPriority w:val="0"/>
    <w:rPr>
      <w:rFonts w:ascii="Times New Roman" w:hAnsi="Times New Roman" w:eastAsia="宋体" w:cs="Times New Roman"/>
      <w:b/>
      <w:bCs/>
      <w:sz w:val="32"/>
      <w:szCs w:val="32"/>
    </w:rPr>
  </w:style>
  <w:style w:type="character" w:customStyle="1" w:styleId="40">
    <w:name w:val="标题 4 字符"/>
    <w:link w:val="5"/>
    <w:qFormat/>
    <w:uiPriority w:val="0"/>
    <w:rPr>
      <w:rFonts w:ascii="Arial" w:hAnsi="Arial" w:eastAsia="黑体" w:cs="Times New Roman"/>
      <w:b/>
      <w:bCs/>
      <w:sz w:val="28"/>
      <w:szCs w:val="28"/>
    </w:rPr>
  </w:style>
  <w:style w:type="character" w:customStyle="1" w:styleId="41">
    <w:name w:val="标题 5 字符"/>
    <w:link w:val="6"/>
    <w:qFormat/>
    <w:uiPriority w:val="0"/>
    <w:rPr>
      <w:rFonts w:ascii="Times New Roman" w:hAnsi="Times New Roman" w:eastAsia="宋体" w:cs="Times New Roman"/>
      <w:b/>
      <w:bCs/>
      <w:sz w:val="28"/>
      <w:szCs w:val="28"/>
    </w:rPr>
  </w:style>
  <w:style w:type="character" w:customStyle="1" w:styleId="42">
    <w:name w:val="标题 6 字符"/>
    <w:link w:val="7"/>
    <w:qFormat/>
    <w:uiPriority w:val="0"/>
    <w:rPr>
      <w:rFonts w:ascii="Arial" w:hAnsi="Arial" w:eastAsia="黑体" w:cs="Times New Roman"/>
      <w:b/>
      <w:bCs/>
      <w:sz w:val="24"/>
      <w:szCs w:val="24"/>
    </w:rPr>
  </w:style>
  <w:style w:type="character" w:customStyle="1" w:styleId="43">
    <w:name w:val="标题 7 字符"/>
    <w:link w:val="8"/>
    <w:qFormat/>
    <w:uiPriority w:val="0"/>
    <w:rPr>
      <w:rFonts w:ascii="Times New Roman" w:hAnsi="Times New Roman" w:eastAsia="宋体" w:cs="Times New Roman"/>
      <w:b/>
      <w:bCs/>
      <w:sz w:val="24"/>
      <w:szCs w:val="24"/>
    </w:rPr>
  </w:style>
  <w:style w:type="character" w:customStyle="1" w:styleId="44">
    <w:name w:val="标题 8 字符"/>
    <w:link w:val="9"/>
    <w:qFormat/>
    <w:uiPriority w:val="0"/>
    <w:rPr>
      <w:rFonts w:ascii="Arial" w:hAnsi="Arial" w:eastAsia="黑体" w:cs="Times New Roman"/>
      <w:sz w:val="24"/>
      <w:szCs w:val="24"/>
    </w:rPr>
  </w:style>
  <w:style w:type="character" w:customStyle="1" w:styleId="45">
    <w:name w:val="标题 9 字符"/>
    <w:link w:val="10"/>
    <w:qFormat/>
    <w:uiPriority w:val="0"/>
    <w:rPr>
      <w:rFonts w:ascii="Arial" w:hAnsi="Arial" w:eastAsia="黑体" w:cs="Times New Roman"/>
      <w:szCs w:val="21"/>
    </w:rPr>
  </w:style>
  <w:style w:type="character" w:customStyle="1" w:styleId="46">
    <w:name w:val="页眉 字符"/>
    <w:link w:val="19"/>
    <w:qFormat/>
    <w:uiPriority w:val="99"/>
    <w:rPr>
      <w:rFonts w:ascii="Times New Roman" w:hAnsi="Times New Roman" w:eastAsia="宋体" w:cs="Times New Roman"/>
      <w:sz w:val="18"/>
      <w:szCs w:val="18"/>
    </w:rPr>
  </w:style>
  <w:style w:type="character" w:customStyle="1" w:styleId="47">
    <w:name w:val="页脚 字符"/>
    <w:link w:val="18"/>
    <w:qFormat/>
    <w:uiPriority w:val="99"/>
    <w:rPr>
      <w:rFonts w:ascii="宋体" w:hAnsi="Times New Roman" w:eastAsia="宋体" w:cs="Times New Roman"/>
      <w:sz w:val="18"/>
      <w:szCs w:val="18"/>
    </w:rPr>
  </w:style>
  <w:style w:type="character" w:customStyle="1" w:styleId="48">
    <w:name w:val="批注框文本 字符"/>
    <w:link w:val="17"/>
    <w:semiHidden/>
    <w:qFormat/>
    <w:uiPriority w:val="99"/>
    <w:rPr>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rPr>
  </w:style>
  <w:style w:type="character" w:customStyle="1" w:styleId="51">
    <w:name w:val="标题 字符"/>
    <w:link w:val="26"/>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rFonts w:ascii="Times New Roman" w:hAnsi="Times New Roman" w:eastAsia="宋体" w:cs="Times New Roman"/>
      <w:szCs w:val="20"/>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ind w:left="0" w:firstLine="200"/>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hAnsi="Times New Roman" w:eastAsia="宋体" w:cs="Times New Roman"/>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ind w:left="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left="1271" w:hanging="420" w:firstLineChars="0"/>
    </w:pPr>
  </w:style>
  <w:style w:type="paragraph" w:customStyle="1" w:styleId="191">
    <w:name w:val="标准文件_三级项2"/>
    <w:basedOn w:val="59"/>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vAnchor="page" w:hAnchor="page" w:x="1419" w:y="14097"/>
    </w:pPr>
  </w:style>
  <w:style w:type="paragraph" w:customStyle="1" w:styleId="197">
    <w:name w:val="其他实施日期"/>
    <w:basedOn w:val="157"/>
    <w:qFormat/>
    <w:uiPriority w:val="0"/>
    <w:pPr>
      <w:framePr w:w="3997" w:h="471" w:hRule="exact" w:vSpace="181"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2">
    <w:name w:val="修订1"/>
    <w:hidden/>
    <w:semiHidden/>
    <w:qFormat/>
    <w:uiPriority w:val="99"/>
    <w:rPr>
      <w:rFonts w:ascii="Calibri" w:hAnsi="Calibri" w:eastAsia="宋体" w:cs="Times New Roman"/>
      <w:kern w:val="2"/>
      <w:sz w:val="21"/>
      <w:szCs w:val="21"/>
      <w:lang w:val="en-US" w:eastAsia="zh-CN" w:bidi="ar-SA"/>
    </w:rPr>
  </w:style>
  <w:style w:type="character" w:customStyle="1" w:styleId="233">
    <w:name w:val="批注文字 字符"/>
    <w:basedOn w:val="30"/>
    <w:link w:val="13"/>
    <w:qFormat/>
    <w:uiPriority w:val="99"/>
    <w:rPr>
      <w:kern w:val="2"/>
      <w:sz w:val="21"/>
      <w:szCs w:val="21"/>
    </w:rPr>
  </w:style>
  <w:style w:type="character" w:customStyle="1" w:styleId="234">
    <w:name w:val="批注主题 字符"/>
    <w:basedOn w:val="233"/>
    <w:link w:val="27"/>
    <w:semiHidden/>
    <w:qFormat/>
    <w:uiPriority w:val="99"/>
    <w:rPr>
      <w:b/>
      <w:bCs/>
      <w:kern w:val="2"/>
      <w:sz w:val="21"/>
      <w:szCs w:val="21"/>
    </w:rPr>
  </w:style>
  <w:style w:type="paragraph" w:customStyle="1" w:styleId="235">
    <w:name w:val="修订2"/>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tiff"/><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lsen/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C600D4CDA4E431FA90158BC5B8AB9EA"/>
        <w:style w:val=""/>
        <w:category>
          <w:name w:val="常规"/>
          <w:gallery w:val="placeholder"/>
        </w:category>
        <w:types>
          <w:type w:val="bbPlcHdr"/>
        </w:types>
        <w:behaviors>
          <w:behavior w:val="content"/>
        </w:behaviors>
        <w:description w:val=""/>
        <w:guid w:val="{B8D27D71-3990-4544-9F3F-4F6277799855}"/>
      </w:docPartPr>
      <w:docPartBody>
        <w:p>
          <w:pPr>
            <w:pStyle w:val="5"/>
          </w:pPr>
          <w:r>
            <w:rPr>
              <w:rStyle w:val="4"/>
              <w:rFonts w:hint="eastAsia"/>
            </w:rPr>
            <w:t>单击或点击此处输入文字。</w:t>
          </w:r>
        </w:p>
      </w:docPartBody>
    </w:docPart>
    <w:docPart>
      <w:docPartPr>
        <w:name w:val="244E6DEEB5EB458FA4D64563076CD226"/>
        <w:style w:val=""/>
        <w:category>
          <w:name w:val="常规"/>
          <w:gallery w:val="placeholder"/>
        </w:category>
        <w:types>
          <w:type w:val="bbPlcHdr"/>
        </w:types>
        <w:behaviors>
          <w:behavior w:val="content"/>
        </w:behaviors>
        <w:description w:val=""/>
        <w:guid w:val="{EEB4F6BF-A662-4A29-B1E6-7A8E205BE17C}"/>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45"/>
    <w:rsid w:val="000E2BB8"/>
    <w:rsid w:val="000F30DA"/>
    <w:rsid w:val="000F4AD0"/>
    <w:rsid w:val="00127EE5"/>
    <w:rsid w:val="00131C03"/>
    <w:rsid w:val="00146DFB"/>
    <w:rsid w:val="001E2804"/>
    <w:rsid w:val="00217DB2"/>
    <w:rsid w:val="00222B57"/>
    <w:rsid w:val="00292EE7"/>
    <w:rsid w:val="002D02FC"/>
    <w:rsid w:val="002E0671"/>
    <w:rsid w:val="002F770B"/>
    <w:rsid w:val="00360B45"/>
    <w:rsid w:val="00376CF9"/>
    <w:rsid w:val="004533DD"/>
    <w:rsid w:val="004A6FF7"/>
    <w:rsid w:val="004E0746"/>
    <w:rsid w:val="00543AFD"/>
    <w:rsid w:val="005C17D6"/>
    <w:rsid w:val="00626F0C"/>
    <w:rsid w:val="00667D9E"/>
    <w:rsid w:val="006818D5"/>
    <w:rsid w:val="007561E1"/>
    <w:rsid w:val="00776C6D"/>
    <w:rsid w:val="00A27172"/>
    <w:rsid w:val="00B150F6"/>
    <w:rsid w:val="00B55283"/>
    <w:rsid w:val="00BD68C7"/>
    <w:rsid w:val="00D72818"/>
    <w:rsid w:val="00E80CEC"/>
    <w:rsid w:val="00EF613E"/>
    <w:rsid w:val="00F16AE8"/>
    <w:rsid w:val="00FD4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C600D4CDA4E431FA90158BC5B8AB9E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44E6DEEB5EB458FA4D64563076CD22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10</Pages>
  <Words>1101</Words>
  <Characters>6280</Characters>
  <Lines>52</Lines>
  <Paragraphs>14</Paragraphs>
  <TotalTime>0</TotalTime>
  <ScaleCrop>false</ScaleCrop>
  <LinksUpToDate>false</LinksUpToDate>
  <CharactersWithSpaces>7367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2026-03-31T16:54:00Z</dcterms:created>
  <dc:creator>Administrator</dc:creator>
  <dc:description>&lt;config cover="true" show_menu="true" version="1.0.0" doctype="SDKXY"&gt;_x000d_
&lt;/config&gt;</dc:description>
  <cp:lastModifiedBy>lsen</cp:lastModifiedBy>
  <cp:lastPrinted>2026-06-04T17:37:00Z</cp:lastPrinted>
  <dcterms:modified xsi:type="dcterms:W3CDTF">2026-07-28T14:18:43Z</dcterms:modified>
  <dc:title>国家标准</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eyJoZGlkIjoiZTJjNmZmYTA0NGY5MTRjY2FlZDcyM2FhMzdkOThmYTQiLCJ1c2VySWQiOiI4MzMwMzkzMjMifQ==</vt:lpwstr>
  </property>
  <property fmtid="{D5CDD505-2E9C-101B-9397-08002B2CF9AE}" pid="15" name="KSOProductBuildVer">
    <vt:lpwstr>2052-11.8.2.10422</vt:lpwstr>
  </property>
  <property fmtid="{D5CDD505-2E9C-101B-9397-08002B2CF9AE}" pid="16" name="ICV">
    <vt:lpwstr>3C373E5228314ACE97F576D91F098689_13</vt:lpwstr>
  </property>
</Properties>
</file>